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  </w:t>
      </w:r>
      <w:r w:rsidRPr="005E0350">
        <w:rPr>
          <w:rFonts w:ascii="Times New Roman" w:hAnsi="Times New Roman" w:cs="Times New Roman"/>
          <w:sz w:val="28"/>
          <w:szCs w:val="28"/>
        </w:rPr>
        <w:t>от 2</w:t>
      </w:r>
      <w:r w:rsidR="00E07905">
        <w:rPr>
          <w:rFonts w:ascii="Times New Roman" w:hAnsi="Times New Roman" w:cs="Times New Roman"/>
          <w:sz w:val="28"/>
          <w:szCs w:val="28"/>
        </w:rPr>
        <w:t>8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E07905">
        <w:rPr>
          <w:rFonts w:ascii="Times New Roman" w:hAnsi="Times New Roman" w:cs="Times New Roman"/>
          <w:sz w:val="28"/>
          <w:szCs w:val="28"/>
        </w:rPr>
        <w:t>1</w:t>
      </w:r>
      <w:r w:rsidRPr="005E0350">
        <w:rPr>
          <w:rFonts w:ascii="Times New Roman" w:hAnsi="Times New Roman" w:cs="Times New Roman"/>
          <w:sz w:val="28"/>
          <w:szCs w:val="28"/>
        </w:rPr>
        <w:t xml:space="preserve"> г.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E07905">
        <w:rPr>
          <w:rFonts w:ascii="Times New Roman" w:hAnsi="Times New Roman" w:cs="Times New Roman"/>
          <w:sz w:val="28"/>
          <w:szCs w:val="28"/>
        </w:rPr>
        <w:t>56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9104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051326"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E07905">
        <w:rPr>
          <w:rFonts w:ascii="Times New Roman" w:hAnsi="Times New Roman" w:cs="Times New Roman"/>
          <w:b/>
          <w:sz w:val="28"/>
          <w:szCs w:val="28"/>
        </w:rPr>
        <w:t>2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DB6E68" w:rsidP="00FD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B6E68" w:rsidRPr="00E84CEA" w:rsidRDefault="00CF2B68" w:rsidP="00CF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B6E68"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DB6E68" w:rsidRPr="00E84CEA" w:rsidRDefault="00DB6E68" w:rsidP="007D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 w:rsidP="00D9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871C48" w:rsidRPr="00E84CEA" w:rsidTr="007719EF">
        <w:trPr>
          <w:trHeight w:val="982"/>
        </w:trPr>
        <w:tc>
          <w:tcPr>
            <w:tcW w:w="817" w:type="dxa"/>
          </w:tcPr>
          <w:p w:rsidR="00871C48" w:rsidRPr="007272A2" w:rsidRDefault="00871C4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71C48" w:rsidRPr="00E84CEA" w:rsidRDefault="00871C48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50888" w:rsidRPr="00A5088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0888" w:rsidRPr="00A50888">
              <w:rPr>
                <w:rFonts w:ascii="Times New Roman" w:hAnsi="Times New Roman" w:cs="Times New Roman"/>
                <w:sz w:val="28"/>
                <w:szCs w:val="28"/>
              </w:rPr>
              <w:t>ости и эффективности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выделенных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508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proofErr w:type="spellStart"/>
            <w:r w:rsidR="00255FDB"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255FDB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871C48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103" w:rsidRPr="00E84CEA" w:rsidTr="007719EF">
        <w:trPr>
          <w:trHeight w:val="982"/>
        </w:trPr>
        <w:tc>
          <w:tcPr>
            <w:tcW w:w="817" w:type="dxa"/>
          </w:tcPr>
          <w:p w:rsidR="00635103" w:rsidRPr="007272A2" w:rsidRDefault="00871C4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103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5103" w:rsidRPr="00E84CEA" w:rsidRDefault="003F7621" w:rsidP="00E4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средств, выделенных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2161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411FF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103" w:rsidRPr="00E84CEA" w:rsidRDefault="00635103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103" w:rsidRPr="00E84CEA" w:rsidRDefault="0057120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635103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635103" w:rsidRPr="00E84CEA" w:rsidRDefault="00635103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103" w:rsidRPr="00E84CEA" w:rsidRDefault="00635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7B" w:rsidTr="007719EF">
        <w:tc>
          <w:tcPr>
            <w:tcW w:w="817" w:type="dxa"/>
          </w:tcPr>
          <w:p w:rsidR="009E5D7B" w:rsidRPr="007272A2" w:rsidRDefault="00E7425E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D7B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E5D7B" w:rsidRPr="00E84CEA" w:rsidRDefault="009E5D7B" w:rsidP="009D4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C6C0C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5BD1">
              <w:rPr>
                <w:rFonts w:ascii="Times New Roman" w:hAnsi="Times New Roman" w:cs="Times New Roman"/>
                <w:sz w:val="28"/>
                <w:szCs w:val="28"/>
              </w:rPr>
              <w:t>м образовани</w:t>
            </w:r>
            <w:r w:rsidR="009D4D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="00255FDB"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BD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8DD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D48D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>0-202</w:t>
            </w:r>
            <w:r w:rsidR="00EE5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FD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E5BCD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  <w:r w:rsidR="008C6C0C">
              <w:rPr>
                <w:rFonts w:ascii="Times New Roman" w:hAnsi="Times New Roman" w:cs="Times New Roman"/>
                <w:sz w:val="28"/>
                <w:szCs w:val="28"/>
              </w:rPr>
              <w:t xml:space="preserve"> и 1 квартал 2022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D7B" w:rsidRDefault="00255FD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37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E5D7B" w:rsidRDefault="009E5D7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5D7B" w:rsidRDefault="009E5D7B" w:rsidP="009E5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E5D7B" w:rsidRDefault="009E5D7B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7272A2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7425E" w:rsidRPr="00E84CEA" w:rsidRDefault="00635337" w:rsidP="004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выделенных муниципальному казенному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регионального проекта «Современная школа» национального проекта «Образование» за 2021 год»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E84CEA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337" w:rsidTr="007719EF">
        <w:tc>
          <w:tcPr>
            <w:tcW w:w="817" w:type="dxa"/>
          </w:tcPr>
          <w:p w:rsidR="00635337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35337" w:rsidRDefault="00635337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выделенных муниципальному образованию «поселок Поныри»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муниципальной программы «Формирование современной городской среды 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Поныри» Курской области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регионального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 2021 год и прошедший период 2022 года</w:t>
            </w:r>
          </w:p>
          <w:p w:rsidR="00DE38B1" w:rsidRDefault="00DE38B1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635337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8100A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</w:t>
            </w:r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реализацию муниципальной программы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317EF6">
              <w:rPr>
                <w:rFonts w:ascii="Times New Roman" w:hAnsi="Times New Roman" w:cs="Times New Roman"/>
                <w:sz w:val="28"/>
                <w:szCs w:val="28"/>
              </w:rPr>
              <w:t>Поныровском</w:t>
            </w:r>
            <w:proofErr w:type="spellEnd"/>
            <w:r w:rsidR="00317EF6">
              <w:rPr>
                <w:rFonts w:ascii="Times New Roman" w:hAnsi="Times New Roman" w:cs="Times New Roman"/>
                <w:sz w:val="28"/>
                <w:szCs w:val="28"/>
              </w:rPr>
              <w:t xml:space="preserve"> районе Курской области</w:t>
            </w:r>
            <w:r w:rsidR="008A75F8" w:rsidRPr="008A7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5F8">
              <w:rPr>
                <w:rFonts w:ascii="Times New Roman" w:hAnsi="Times New Roman" w:cs="Times New Roman"/>
                <w:sz w:val="28"/>
                <w:szCs w:val="28"/>
              </w:rPr>
              <w:t>за 2021 год и 9 месяцев 2022 года</w:t>
            </w:r>
          </w:p>
          <w:p w:rsidR="00DE38B1" w:rsidRPr="008A75F8" w:rsidRDefault="00DE38B1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Pr="00E84CEA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sz w:val="28"/>
                <w:szCs w:val="28"/>
              </w:rPr>
            </w:pPr>
          </w:p>
        </w:tc>
      </w:tr>
      <w:tr w:rsidR="00E7425E" w:rsidTr="00023417">
        <w:trPr>
          <w:trHeight w:val="1055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E7425E" w:rsidRPr="00EA6064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1476D2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E7425E" w:rsidRPr="00F57A51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927" w:rsidRPr="00F57A51" w:rsidTr="007719EF">
        <w:tc>
          <w:tcPr>
            <w:tcW w:w="817" w:type="dxa"/>
          </w:tcPr>
          <w:p w:rsidR="00B52927" w:rsidRPr="00F57A51" w:rsidRDefault="00B5292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36" w:type="dxa"/>
          </w:tcPr>
          <w:p w:rsidR="00B52927" w:rsidRPr="00F57A51" w:rsidRDefault="00B52927" w:rsidP="00B5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администратора бюджетных средств –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обеспечения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927" w:rsidRPr="00F57A51" w:rsidRDefault="00B52927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2927" w:rsidRPr="00F57A51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B52927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2927" w:rsidRPr="00F57A51" w:rsidRDefault="00B5292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E7425E" w:rsidRPr="00F57A51" w:rsidRDefault="00E7425E" w:rsidP="0082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муниципальных образований: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11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3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6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C14184">
        <w:trPr>
          <w:trHeight w:val="39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67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1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57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E14C65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286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7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муниципальных образований: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4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0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5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3C0A12">
        <w:trPr>
          <w:trHeight w:val="66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A849C0">
        <w:trPr>
          <w:trHeight w:val="167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75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165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F45F4">
        <w:trPr>
          <w:trHeight w:val="42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132A1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7F5F"/>
    <w:rsid w:val="0012565E"/>
    <w:rsid w:val="00132A13"/>
    <w:rsid w:val="00133726"/>
    <w:rsid w:val="001339ED"/>
    <w:rsid w:val="00134AA7"/>
    <w:rsid w:val="001476D2"/>
    <w:rsid w:val="00181AF4"/>
    <w:rsid w:val="001840BD"/>
    <w:rsid w:val="00185056"/>
    <w:rsid w:val="001A1D31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4C80"/>
    <w:rsid w:val="002969F7"/>
    <w:rsid w:val="002A196C"/>
    <w:rsid w:val="002B2162"/>
    <w:rsid w:val="002B3226"/>
    <w:rsid w:val="00317EF6"/>
    <w:rsid w:val="003363B1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2410B"/>
    <w:rsid w:val="004313B6"/>
    <w:rsid w:val="0043427F"/>
    <w:rsid w:val="00441A5A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333F"/>
    <w:rsid w:val="004F2C42"/>
    <w:rsid w:val="004F3FE8"/>
    <w:rsid w:val="004F478A"/>
    <w:rsid w:val="00517AA6"/>
    <w:rsid w:val="0052336D"/>
    <w:rsid w:val="00535431"/>
    <w:rsid w:val="005623A2"/>
    <w:rsid w:val="00571205"/>
    <w:rsid w:val="0057203A"/>
    <w:rsid w:val="0058009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2DBD"/>
    <w:rsid w:val="0093578C"/>
    <w:rsid w:val="009447E4"/>
    <w:rsid w:val="0095329A"/>
    <w:rsid w:val="0097250A"/>
    <w:rsid w:val="00972819"/>
    <w:rsid w:val="00972A8C"/>
    <w:rsid w:val="009973C6"/>
    <w:rsid w:val="009A31BB"/>
    <w:rsid w:val="009B1629"/>
    <w:rsid w:val="009B6EB0"/>
    <w:rsid w:val="009C09C7"/>
    <w:rsid w:val="009C234C"/>
    <w:rsid w:val="009C4FAF"/>
    <w:rsid w:val="009D4D1E"/>
    <w:rsid w:val="009E5D7B"/>
    <w:rsid w:val="009F25CE"/>
    <w:rsid w:val="00A15B03"/>
    <w:rsid w:val="00A43D02"/>
    <w:rsid w:val="00A50888"/>
    <w:rsid w:val="00A52BB9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7EF5"/>
    <w:rsid w:val="00B41F3B"/>
    <w:rsid w:val="00B4237D"/>
    <w:rsid w:val="00B42B84"/>
    <w:rsid w:val="00B45DA5"/>
    <w:rsid w:val="00B52927"/>
    <w:rsid w:val="00B64915"/>
    <w:rsid w:val="00B750DF"/>
    <w:rsid w:val="00B76F58"/>
    <w:rsid w:val="00B97277"/>
    <w:rsid w:val="00BA38F6"/>
    <w:rsid w:val="00BD48DD"/>
    <w:rsid w:val="00BE1DF9"/>
    <w:rsid w:val="00BF1058"/>
    <w:rsid w:val="00C1377E"/>
    <w:rsid w:val="00C178AD"/>
    <w:rsid w:val="00C314CD"/>
    <w:rsid w:val="00C36112"/>
    <w:rsid w:val="00C404B7"/>
    <w:rsid w:val="00C45403"/>
    <w:rsid w:val="00C515AE"/>
    <w:rsid w:val="00C577EE"/>
    <w:rsid w:val="00C73258"/>
    <w:rsid w:val="00C738FD"/>
    <w:rsid w:val="00C839C1"/>
    <w:rsid w:val="00C909FA"/>
    <w:rsid w:val="00CA4FE6"/>
    <w:rsid w:val="00CA6364"/>
    <w:rsid w:val="00CC4D69"/>
    <w:rsid w:val="00CD14A4"/>
    <w:rsid w:val="00CD4BAB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7821"/>
    <w:rsid w:val="00E05077"/>
    <w:rsid w:val="00E06D0E"/>
    <w:rsid w:val="00E07905"/>
    <w:rsid w:val="00E14C65"/>
    <w:rsid w:val="00E20AF1"/>
    <w:rsid w:val="00E234DA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6064"/>
    <w:rsid w:val="00EB3245"/>
    <w:rsid w:val="00EC1F4D"/>
    <w:rsid w:val="00EC72A9"/>
    <w:rsid w:val="00ED6AF0"/>
    <w:rsid w:val="00EE5BCD"/>
    <w:rsid w:val="00EF45F4"/>
    <w:rsid w:val="00F152E8"/>
    <w:rsid w:val="00F2053D"/>
    <w:rsid w:val="00F45B7B"/>
    <w:rsid w:val="00F57A51"/>
    <w:rsid w:val="00F81603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630B54-5C63-4AC5-ADAD-85EFC8C0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2022-02-04T13:37:00Z</cp:lastPrinted>
  <dcterms:created xsi:type="dcterms:W3CDTF">2014-04-08T10:16:00Z</dcterms:created>
  <dcterms:modified xsi:type="dcterms:W3CDTF">2022-02-28T08:33:00Z</dcterms:modified>
</cp:coreProperties>
</file>