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0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0350">
        <w:rPr>
          <w:sz w:val="28"/>
          <w:szCs w:val="28"/>
        </w:rPr>
        <w:t xml:space="preserve">                </w:t>
      </w:r>
      <w:r w:rsidRPr="005E0350">
        <w:rPr>
          <w:rFonts w:ascii="Times New Roman" w:hAnsi="Times New Roman" w:cs="Times New Roman"/>
          <w:sz w:val="28"/>
          <w:szCs w:val="28"/>
        </w:rPr>
        <w:t>Утвержден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распоряжением </w:t>
      </w:r>
      <w:r w:rsidR="00571205">
        <w:rPr>
          <w:rFonts w:ascii="Times New Roman" w:hAnsi="Times New Roman" w:cs="Times New Roman"/>
          <w:sz w:val="28"/>
          <w:szCs w:val="28"/>
        </w:rPr>
        <w:t>председателя</w:t>
      </w:r>
      <w:r w:rsidRPr="005E0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350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350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972819" w:rsidRPr="005E0350" w:rsidRDefault="00972819" w:rsidP="0097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Поныровского района </w:t>
      </w:r>
    </w:p>
    <w:p w:rsidR="00972819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3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9C1" w:rsidRPr="005E0350">
        <w:rPr>
          <w:rFonts w:ascii="Times New Roman" w:hAnsi="Times New Roman" w:cs="Times New Roman"/>
          <w:sz w:val="28"/>
          <w:szCs w:val="28"/>
        </w:rPr>
        <w:t xml:space="preserve">   </w:t>
      </w:r>
      <w:r w:rsidR="003A74D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5E0350">
        <w:rPr>
          <w:rFonts w:ascii="Times New Roman" w:hAnsi="Times New Roman" w:cs="Times New Roman"/>
          <w:sz w:val="28"/>
          <w:szCs w:val="28"/>
        </w:rPr>
        <w:t xml:space="preserve">от </w:t>
      </w:r>
      <w:r w:rsidR="002938D2">
        <w:rPr>
          <w:rFonts w:ascii="Times New Roman" w:hAnsi="Times New Roman" w:cs="Times New Roman"/>
          <w:sz w:val="28"/>
          <w:szCs w:val="28"/>
        </w:rPr>
        <w:t>29</w:t>
      </w:r>
      <w:r w:rsidRPr="005E0350">
        <w:rPr>
          <w:rFonts w:ascii="Times New Roman" w:hAnsi="Times New Roman" w:cs="Times New Roman"/>
          <w:sz w:val="28"/>
          <w:szCs w:val="28"/>
        </w:rPr>
        <w:t>.12.20</w:t>
      </w:r>
      <w:r w:rsidR="004C11D8">
        <w:rPr>
          <w:rFonts w:ascii="Times New Roman" w:hAnsi="Times New Roman" w:cs="Times New Roman"/>
          <w:sz w:val="28"/>
          <w:szCs w:val="28"/>
        </w:rPr>
        <w:t>2</w:t>
      </w:r>
      <w:r w:rsidR="002938D2">
        <w:rPr>
          <w:rFonts w:ascii="Times New Roman" w:hAnsi="Times New Roman" w:cs="Times New Roman"/>
          <w:sz w:val="28"/>
          <w:szCs w:val="28"/>
        </w:rPr>
        <w:t>2</w:t>
      </w:r>
      <w:r w:rsidRPr="005E0350">
        <w:rPr>
          <w:rFonts w:ascii="Times New Roman" w:hAnsi="Times New Roman" w:cs="Times New Roman"/>
          <w:sz w:val="28"/>
          <w:szCs w:val="28"/>
        </w:rPr>
        <w:t xml:space="preserve"> №</w:t>
      </w:r>
      <w:r w:rsidR="00486A69">
        <w:rPr>
          <w:rFonts w:ascii="Times New Roman" w:hAnsi="Times New Roman" w:cs="Times New Roman"/>
          <w:sz w:val="28"/>
          <w:szCs w:val="28"/>
        </w:rPr>
        <w:t xml:space="preserve"> </w:t>
      </w:r>
      <w:r w:rsidR="00574121">
        <w:rPr>
          <w:rFonts w:ascii="Times New Roman" w:hAnsi="Times New Roman" w:cs="Times New Roman"/>
          <w:sz w:val="28"/>
          <w:szCs w:val="28"/>
        </w:rPr>
        <w:t>24</w:t>
      </w:r>
      <w:r w:rsidR="003A74D3">
        <w:rPr>
          <w:rFonts w:ascii="Times New Roman" w:hAnsi="Times New Roman" w:cs="Times New Roman"/>
          <w:sz w:val="28"/>
          <w:szCs w:val="28"/>
        </w:rPr>
        <w:t>-од</w:t>
      </w:r>
    </w:p>
    <w:p w:rsidR="00BA38F6" w:rsidRDefault="00BA38F6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19" w:rsidRPr="005E0350" w:rsidRDefault="0002571A" w:rsidP="00972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13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3C3">
        <w:rPr>
          <w:rFonts w:ascii="Times New Roman" w:hAnsi="Times New Roman" w:cs="Times New Roman"/>
          <w:sz w:val="28"/>
          <w:szCs w:val="28"/>
        </w:rPr>
        <w:t xml:space="preserve">  </w:t>
      </w:r>
      <w:r w:rsidR="00BE1DF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2819" w:rsidRPr="005E0350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350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051326" w:rsidRPr="005E0350" w:rsidRDefault="00051326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68" w:rsidRPr="005E0350">
        <w:rPr>
          <w:rFonts w:ascii="Times New Roman" w:hAnsi="Times New Roman" w:cs="Times New Roman"/>
          <w:b/>
          <w:sz w:val="28"/>
          <w:szCs w:val="28"/>
        </w:rPr>
        <w:t>работы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819" w:rsidRPr="005E0350">
        <w:rPr>
          <w:rFonts w:ascii="Times New Roman" w:hAnsi="Times New Roman" w:cs="Times New Roman"/>
          <w:b/>
          <w:sz w:val="28"/>
          <w:szCs w:val="28"/>
        </w:rPr>
        <w:t xml:space="preserve">Ревизионной комиссии Поныровского района </w:t>
      </w:r>
    </w:p>
    <w:p w:rsidR="0049104F" w:rsidRDefault="00972819" w:rsidP="00972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50">
        <w:rPr>
          <w:rFonts w:ascii="Times New Roman" w:hAnsi="Times New Roman" w:cs="Times New Roman"/>
          <w:b/>
          <w:sz w:val="28"/>
          <w:szCs w:val="28"/>
        </w:rPr>
        <w:t>на 20</w:t>
      </w:r>
      <w:r w:rsidR="00E62D4F">
        <w:rPr>
          <w:rFonts w:ascii="Times New Roman" w:hAnsi="Times New Roman" w:cs="Times New Roman"/>
          <w:b/>
          <w:sz w:val="28"/>
          <w:szCs w:val="28"/>
        </w:rPr>
        <w:t>2</w:t>
      </w:r>
      <w:r w:rsidR="002938D2">
        <w:rPr>
          <w:rFonts w:ascii="Times New Roman" w:hAnsi="Times New Roman" w:cs="Times New Roman"/>
          <w:b/>
          <w:sz w:val="28"/>
          <w:szCs w:val="28"/>
        </w:rPr>
        <w:t>3</w:t>
      </w:r>
      <w:r w:rsidRPr="005E03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F2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CEA" w:rsidRPr="0035208B" w:rsidRDefault="00E84CEA" w:rsidP="009728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701"/>
        <w:gridCol w:w="1241"/>
      </w:tblGrid>
      <w:tr w:rsidR="00DB6E68" w:rsidTr="007D501B">
        <w:trPr>
          <w:trHeight w:val="1779"/>
        </w:trPr>
        <w:tc>
          <w:tcPr>
            <w:tcW w:w="817" w:type="dxa"/>
          </w:tcPr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DB6E68" w:rsidRPr="00574121" w:rsidRDefault="00DB6E68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B6E68" w:rsidRPr="00574121" w:rsidRDefault="00DB6E68" w:rsidP="00523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E68" w:rsidRPr="00574121" w:rsidRDefault="00DB6E68" w:rsidP="00F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B6E68" w:rsidRPr="00574121" w:rsidRDefault="00CF2B68" w:rsidP="00CF2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6E68" w:rsidRPr="00574121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 xml:space="preserve"> ме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опри</w:t>
            </w: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61B7C" w:rsidRPr="00574121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B6E68" w:rsidRPr="00574121" w:rsidRDefault="00DB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  <w:p w:rsidR="00DB6E68" w:rsidRPr="00574121" w:rsidRDefault="00DB6E68" w:rsidP="007D5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B6E68" w:rsidRPr="00574121" w:rsidRDefault="00DB6E68" w:rsidP="00D9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12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2336D" w:rsidTr="009E4DA9">
        <w:trPr>
          <w:trHeight w:val="338"/>
        </w:trPr>
        <w:tc>
          <w:tcPr>
            <w:tcW w:w="9571" w:type="dxa"/>
            <w:gridSpan w:val="5"/>
          </w:tcPr>
          <w:p w:rsidR="00E84CEA" w:rsidRDefault="00E84CEA" w:rsidP="00FD4F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2336D" w:rsidRDefault="0052336D" w:rsidP="0052336D">
            <w:pPr>
              <w:jc w:val="center"/>
              <w:rPr>
                <w:sz w:val="24"/>
                <w:szCs w:val="24"/>
              </w:rPr>
            </w:pP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 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ые</w:t>
            </w:r>
            <w:r w:rsidRPr="007F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</w:p>
          <w:p w:rsidR="0052336D" w:rsidRPr="0035208B" w:rsidRDefault="0052336D" w:rsidP="00D97AD6">
            <w:pPr>
              <w:jc w:val="center"/>
              <w:rPr>
                <w:sz w:val="24"/>
                <w:szCs w:val="24"/>
              </w:rPr>
            </w:pPr>
          </w:p>
        </w:tc>
      </w:tr>
      <w:tr w:rsidR="0014024D" w:rsidRPr="00E84CEA" w:rsidTr="007719EF">
        <w:trPr>
          <w:trHeight w:val="982"/>
        </w:trPr>
        <w:tc>
          <w:tcPr>
            <w:tcW w:w="817" w:type="dxa"/>
          </w:tcPr>
          <w:p w:rsidR="0014024D" w:rsidRDefault="0014024D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4024D" w:rsidRPr="00DF5791" w:rsidRDefault="0014024D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годового отчета 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 за 2022 год (совместно с Контрольно-счетной палатой Курской области</w:t>
            </w:r>
            <w:r w:rsidR="00DF5791" w:rsidRPr="00DF57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024D" w:rsidRDefault="0014024D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024D" w:rsidRDefault="0014024D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14024D" w:rsidRPr="00E84CEA" w:rsidRDefault="00140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791" w:rsidRPr="00E84CEA" w:rsidTr="007719EF">
        <w:trPr>
          <w:trHeight w:val="982"/>
        </w:trPr>
        <w:tc>
          <w:tcPr>
            <w:tcW w:w="817" w:type="dxa"/>
          </w:tcPr>
          <w:p w:rsidR="00DF5791" w:rsidRPr="00DF5791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DF5791" w:rsidRDefault="001A6EEC" w:rsidP="000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финансово-хозяйственной деятельности </w:t>
            </w:r>
            <w:r w:rsidR="00DF5791">
              <w:rPr>
                <w:rFonts w:ascii="Times New Roman" w:hAnsi="Times New Roman" w:cs="Times New Roman"/>
                <w:sz w:val="28"/>
                <w:szCs w:val="28"/>
              </w:rPr>
              <w:t xml:space="preserve">МКУ «Дирекция единого заказчика жилищно-коммунальных услуг </w:t>
            </w:r>
            <w:proofErr w:type="spellStart"/>
            <w:r w:rsidR="00DF5791">
              <w:rPr>
                <w:rFonts w:ascii="Times New Roman" w:hAnsi="Times New Roman" w:cs="Times New Roman"/>
                <w:sz w:val="28"/>
                <w:szCs w:val="28"/>
              </w:rPr>
              <w:t>п.Поныри</w:t>
            </w:r>
            <w:proofErr w:type="spellEnd"/>
            <w:r w:rsidR="00DF57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2021-2022 годы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F5791" w:rsidRDefault="00DF5791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5791" w:rsidRDefault="00DF5791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DF5791" w:rsidRPr="00E84CEA" w:rsidRDefault="00DF57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1C48" w:rsidRPr="00E84CEA" w:rsidTr="007719EF">
        <w:trPr>
          <w:trHeight w:val="982"/>
        </w:trPr>
        <w:tc>
          <w:tcPr>
            <w:tcW w:w="817" w:type="dxa"/>
          </w:tcPr>
          <w:p w:rsidR="00871C48" w:rsidRPr="007272A2" w:rsidRDefault="00DF5791" w:rsidP="00FD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71C48" w:rsidRPr="00E84CEA" w:rsidRDefault="00737F7B" w:rsidP="00DF5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законности и эффективности использования бюджетных средств в муниципальном образовании</w:t>
            </w:r>
            <w:r w:rsidRPr="00E8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5791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="00DF5791"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Поныровского района Курской области за 2021-2022 годы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1C48" w:rsidRDefault="00DF5791" w:rsidP="00E62D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E3D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</w:t>
            </w:r>
            <w:r w:rsidR="0087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1C48" w:rsidRDefault="00871C48" w:rsidP="00635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871C48" w:rsidRPr="00E84CEA" w:rsidRDefault="00871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7272A2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E84CEA" w:rsidRDefault="0014024D" w:rsidP="00CC5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эффективности распоряжения земельными участками </w:t>
            </w:r>
            <w:r w:rsidR="00CC59A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 Курской области за период 2021 и 2022 годов (совместно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Контрольно-счетной палатой Курской области)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Default="00E7425E" w:rsidP="00140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5337" w:rsidTr="007719EF">
        <w:tc>
          <w:tcPr>
            <w:tcW w:w="817" w:type="dxa"/>
          </w:tcPr>
          <w:p w:rsidR="00635337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635337" w:rsidRDefault="00635337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расходования бюджетных средств, выделенных муниципальному образованию «</w:t>
            </w:r>
            <w:proofErr w:type="spellStart"/>
            <w:r w:rsidR="00920962"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 w:rsidR="0092096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Поныровского района Курской области на реализацию муниципальной программы «Формирование современной городской среды 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20962"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 w:rsidR="0092096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Курской области</w:t>
            </w:r>
            <w:r w:rsidR="000C5CA1">
              <w:rPr>
                <w:rFonts w:ascii="Times New Roman" w:hAnsi="Times New Roman" w:cs="Times New Roman"/>
                <w:sz w:val="28"/>
                <w:szCs w:val="28"/>
              </w:rPr>
              <w:t>» в рамках реализации регионального проекта «Формирование комфортной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920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BE0">
              <w:rPr>
                <w:rFonts w:ascii="Times New Roman" w:hAnsi="Times New Roman" w:cs="Times New Roman"/>
                <w:sz w:val="28"/>
                <w:szCs w:val="28"/>
              </w:rPr>
              <w:t>-2022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прошедший период 202</w:t>
            </w:r>
            <w:r w:rsidR="00920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E38B1" w:rsidRDefault="00DE38B1" w:rsidP="0081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  <w:p w:rsidR="00635337" w:rsidRDefault="00635337" w:rsidP="00255F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635337" w:rsidRDefault="0063533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Default="0063533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5139A9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системы оплаты труда работников общеобразовательных учреждений</w:t>
            </w:r>
            <w:r w:rsidR="00556D67"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в 2022 году (совместно с Контрольно-счетной палатой Курской области)</w:t>
            </w:r>
          </w:p>
          <w:p w:rsidR="00DE38B1" w:rsidRPr="008A75F8" w:rsidRDefault="00DE38B1" w:rsidP="00317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5337" w:rsidRPr="00E84CEA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635337" w:rsidP="00635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8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sz w:val="28"/>
                <w:szCs w:val="28"/>
              </w:rPr>
            </w:pPr>
          </w:p>
        </w:tc>
      </w:tr>
      <w:tr w:rsidR="00E7425E" w:rsidTr="00023417">
        <w:trPr>
          <w:trHeight w:val="1055"/>
        </w:trPr>
        <w:tc>
          <w:tcPr>
            <w:tcW w:w="9571" w:type="dxa"/>
            <w:gridSpan w:val="5"/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EA6064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  <w:r w:rsidRPr="00EA60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Экспертно-аналитические мероприятия</w:t>
            </w: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Проведение внешней проверки годовой бюджетной отчетности главных администраторов бюджетных средств (главных распорядителей бюджета, главных администраторов доходов бюджета и администраторов источников финансирования дефицита бюджета)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Администрации Поныровского района Курской 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Представительного Собрания Поныровского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Управления финансов администрации Поныровского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Tr="007719EF">
        <w:tc>
          <w:tcPr>
            <w:tcW w:w="817" w:type="dxa"/>
          </w:tcPr>
          <w:p w:rsidR="00E7425E" w:rsidRPr="00EA6064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E7425E" w:rsidRPr="00EA6064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6064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культуры, по делам молодежи, ФК и спорту администрации Поныровского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EA6064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EA6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EA6064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EA6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1476D2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образования администрации Поныровского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="00293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927" w:rsidRPr="00F57A51" w:rsidTr="007719EF">
        <w:tc>
          <w:tcPr>
            <w:tcW w:w="817" w:type="dxa"/>
          </w:tcPr>
          <w:p w:rsidR="00B52927" w:rsidRPr="00F57A51" w:rsidRDefault="00B52927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36" w:type="dxa"/>
          </w:tcPr>
          <w:p w:rsidR="00B52927" w:rsidRPr="00F57A51" w:rsidRDefault="00B52927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главного администратора бюджетных средств –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обеспечения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Поныровского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927" w:rsidRPr="00F57A51" w:rsidRDefault="00B52927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52927" w:rsidRPr="00F57A51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52927" w:rsidRDefault="00B52927" w:rsidP="00B529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52927" w:rsidRPr="00F57A51" w:rsidRDefault="00B52927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год» (с учетом данных внешних проверок бюджетной отчетности главных распорядителей бюджета, главных администраторов доходов бюджета, главных администраторов источников финансирования дефицита бюджета)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ходе 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427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F9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отчет об исполнении бюджета за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муниципальных образований: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1-2 квартал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11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3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6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21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7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76B6F">
        <w:trPr>
          <w:trHeight w:val="1538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C14184">
        <w:trPr>
          <w:trHeight w:val="390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67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16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19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54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202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05"/>
        </w:trPr>
        <w:tc>
          <w:tcPr>
            <w:tcW w:w="817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9A9" w:rsidRPr="00F57A51" w:rsidTr="00023417">
        <w:trPr>
          <w:trHeight w:val="1357"/>
        </w:trPr>
        <w:tc>
          <w:tcPr>
            <w:tcW w:w="817" w:type="dxa"/>
          </w:tcPr>
          <w:p w:rsidR="005139A9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5139A9" w:rsidRPr="00F57A51" w:rsidRDefault="00F911E0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образовательных организациях Поныровского района Курской области в 2022 году и истекшем периоде 2023 года (параллельно с Контрольно-счетной палатой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139A9" w:rsidRPr="00F57A51" w:rsidRDefault="00DF5791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97048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F5791" w:rsidRPr="00F57A51" w:rsidRDefault="00DF5791" w:rsidP="00DF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9A9" w:rsidRDefault="00DF5791" w:rsidP="00DF5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5139A9" w:rsidRPr="00F57A51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57"/>
        </w:trPr>
        <w:tc>
          <w:tcPr>
            <w:tcW w:w="817" w:type="dxa"/>
          </w:tcPr>
          <w:p w:rsidR="00E7425E" w:rsidRPr="00F57A51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425E"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43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ходе исполнения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c>
          <w:tcPr>
            <w:tcW w:w="817" w:type="dxa"/>
            <w:tcBorders>
              <w:top w:val="single" w:sz="4" w:space="0" w:color="auto"/>
            </w:tcBorders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c>
          <w:tcPr>
            <w:tcW w:w="817" w:type="dxa"/>
          </w:tcPr>
          <w:p w:rsidR="00E7425E" w:rsidRDefault="005139A9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25E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3674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заключений на проекты решений Представительного Собрания Поныровского района Курской области «О внесении изменений и дополнений в решение Представительного Собрания Поныровского района Курской области «О бюджете Поныровского района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115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  <w:r w:rsidR="00DF57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E50B50">
        <w:trPr>
          <w:trHeight w:val="2683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Pr="00F57A51" w:rsidRDefault="00E7425E" w:rsidP="0099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Собрания депутатов муниципальных образований Поныровского района Курской области «О внесении изменений в решения Собрания депутатов «О бюджете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годов»: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E14C65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6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2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7250A">
        <w:trPr>
          <w:trHeight w:val="180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286"/>
        </w:trPr>
        <w:tc>
          <w:tcPr>
            <w:tcW w:w="817" w:type="dxa"/>
          </w:tcPr>
          <w:p w:rsidR="00E7425E" w:rsidRPr="00F57A51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 решения Представительного Собрания Поныровского района Курской области «О бюджете Поныровского района Курской области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023417">
        <w:trPr>
          <w:trHeight w:val="1370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одготовка заключения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на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973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 муниципальных образований: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4A719D">
        <w:trPr>
          <w:trHeight w:val="212"/>
        </w:trPr>
        <w:tc>
          <w:tcPr>
            <w:tcW w:w="817" w:type="dxa"/>
            <w:tcBorders>
              <w:bottom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Поныри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8B6F00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49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12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Первомайский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01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250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719EF">
        <w:trPr>
          <w:trHeight w:val="354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3C0A12">
        <w:trPr>
          <w:trHeight w:val="669"/>
        </w:trPr>
        <w:tc>
          <w:tcPr>
            <w:tcW w:w="817" w:type="dxa"/>
          </w:tcPr>
          <w:p w:rsidR="00E7425E" w:rsidRDefault="00E7425E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4536" w:type="dxa"/>
          </w:tcPr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966"/>
        </w:trPr>
        <w:tc>
          <w:tcPr>
            <w:tcW w:w="9571" w:type="dxa"/>
            <w:gridSpan w:val="5"/>
          </w:tcPr>
          <w:p w:rsidR="00E7425E" w:rsidRPr="00F57A51" w:rsidRDefault="00E7425E" w:rsidP="00E7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7425E" w:rsidRPr="00F57A51" w:rsidRDefault="00E7425E" w:rsidP="00E7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 w:rsidRPr="00F57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Организационно-информационные мероприятия</w:t>
            </w:r>
          </w:p>
        </w:tc>
      </w:tr>
      <w:tr w:rsidR="00E7425E" w:rsidRPr="00F57A51" w:rsidTr="007719EF">
        <w:trPr>
          <w:trHeight w:val="2512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7425E" w:rsidRPr="00F57A51" w:rsidRDefault="00E7425E" w:rsidP="00FB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Представительному Собранию Поныровского района Курской области ежегодного отчета о деятельности Ревизионной комиссии Поныровского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A849C0">
        <w:trPr>
          <w:trHeight w:val="1675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E7425E" w:rsidRPr="00F57A51" w:rsidRDefault="00E7425E" w:rsidP="00B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анализ исполнения предписаний и представлений Ревизионной комиссии Поныровского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7D501B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E7425E" w:rsidRPr="00F57A51" w:rsidRDefault="00E7425E" w:rsidP="0045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информации о деятельности Ревизионной комиссии Поныровского района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425E" w:rsidRPr="00F57A51" w:rsidRDefault="00E7425E" w:rsidP="005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95329A">
        <w:trPr>
          <w:trHeight w:val="1741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утверждение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Поныровского района</w:t>
            </w:r>
          </w:p>
          <w:p w:rsidR="00E7425E" w:rsidRPr="00F57A51" w:rsidRDefault="00E7425E" w:rsidP="00FB4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FB40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531B23">
        <w:trPr>
          <w:trHeight w:val="1567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проводимых Ассоциацией контрольно-счетных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5E" w:rsidRPr="00F57A51" w:rsidTr="00531B23">
        <w:trPr>
          <w:trHeight w:val="1729"/>
        </w:trPr>
        <w:tc>
          <w:tcPr>
            <w:tcW w:w="817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внесение изменений в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A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425E" w:rsidRPr="00F57A51" w:rsidRDefault="00E7425E" w:rsidP="00E7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F5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25E" w:rsidRPr="00F57A51" w:rsidRDefault="00E7425E" w:rsidP="00E74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819" w:rsidRDefault="00972819" w:rsidP="00531B23">
      <w:pPr>
        <w:rPr>
          <w:sz w:val="28"/>
          <w:szCs w:val="28"/>
        </w:rPr>
      </w:pPr>
    </w:p>
    <w:sectPr w:rsidR="00972819" w:rsidSect="006B09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3B6"/>
    <w:rsid w:val="00023417"/>
    <w:rsid w:val="0002571A"/>
    <w:rsid w:val="00025BE4"/>
    <w:rsid w:val="0002778C"/>
    <w:rsid w:val="00035BD1"/>
    <w:rsid w:val="00037A6E"/>
    <w:rsid w:val="00051326"/>
    <w:rsid w:val="000520B5"/>
    <w:rsid w:val="0006504B"/>
    <w:rsid w:val="00070864"/>
    <w:rsid w:val="0007316A"/>
    <w:rsid w:val="00074536"/>
    <w:rsid w:val="0008173D"/>
    <w:rsid w:val="000A59A1"/>
    <w:rsid w:val="000C5CA1"/>
    <w:rsid w:val="000D4898"/>
    <w:rsid w:val="000E060F"/>
    <w:rsid w:val="000E17BA"/>
    <w:rsid w:val="000F578E"/>
    <w:rsid w:val="00110163"/>
    <w:rsid w:val="00117F5F"/>
    <w:rsid w:val="0012565E"/>
    <w:rsid w:val="00132A13"/>
    <w:rsid w:val="00133726"/>
    <w:rsid w:val="001339ED"/>
    <w:rsid w:val="00134AA7"/>
    <w:rsid w:val="0014024D"/>
    <w:rsid w:val="001476D2"/>
    <w:rsid w:val="00181AF4"/>
    <w:rsid w:val="001840BD"/>
    <w:rsid w:val="00185056"/>
    <w:rsid w:val="001A1D31"/>
    <w:rsid w:val="001A6EEC"/>
    <w:rsid w:val="001E13C3"/>
    <w:rsid w:val="00206C8A"/>
    <w:rsid w:val="002161C0"/>
    <w:rsid w:val="002208C8"/>
    <w:rsid w:val="00232C97"/>
    <w:rsid w:val="00255FDB"/>
    <w:rsid w:val="002560A5"/>
    <w:rsid w:val="002660C4"/>
    <w:rsid w:val="00270BF1"/>
    <w:rsid w:val="00275303"/>
    <w:rsid w:val="002755AE"/>
    <w:rsid w:val="00291A5F"/>
    <w:rsid w:val="00292FE8"/>
    <w:rsid w:val="002938D2"/>
    <w:rsid w:val="00294C80"/>
    <w:rsid w:val="002969F7"/>
    <w:rsid w:val="002A196C"/>
    <w:rsid w:val="002B2162"/>
    <w:rsid w:val="002B3226"/>
    <w:rsid w:val="00310119"/>
    <w:rsid w:val="00317EF6"/>
    <w:rsid w:val="003363B1"/>
    <w:rsid w:val="00350DA9"/>
    <w:rsid w:val="0035208B"/>
    <w:rsid w:val="00362806"/>
    <w:rsid w:val="00372312"/>
    <w:rsid w:val="00374FEF"/>
    <w:rsid w:val="00387127"/>
    <w:rsid w:val="0038724B"/>
    <w:rsid w:val="00393515"/>
    <w:rsid w:val="003A2B87"/>
    <w:rsid w:val="003A74D3"/>
    <w:rsid w:val="003C0A12"/>
    <w:rsid w:val="003C1756"/>
    <w:rsid w:val="003E5DEC"/>
    <w:rsid w:val="003F21AC"/>
    <w:rsid w:val="003F689E"/>
    <w:rsid w:val="003F7621"/>
    <w:rsid w:val="0040082D"/>
    <w:rsid w:val="00401D19"/>
    <w:rsid w:val="00407533"/>
    <w:rsid w:val="0041261E"/>
    <w:rsid w:val="0042410B"/>
    <w:rsid w:val="004313B6"/>
    <w:rsid w:val="0043427F"/>
    <w:rsid w:val="00441A5A"/>
    <w:rsid w:val="00455FED"/>
    <w:rsid w:val="00463C10"/>
    <w:rsid w:val="00463EA4"/>
    <w:rsid w:val="00464792"/>
    <w:rsid w:val="00466B26"/>
    <w:rsid w:val="0047118D"/>
    <w:rsid w:val="00485940"/>
    <w:rsid w:val="00486A69"/>
    <w:rsid w:val="0049104F"/>
    <w:rsid w:val="00491D4C"/>
    <w:rsid w:val="00491F7F"/>
    <w:rsid w:val="004A06E9"/>
    <w:rsid w:val="004A263F"/>
    <w:rsid w:val="004B616B"/>
    <w:rsid w:val="004B74D8"/>
    <w:rsid w:val="004C11D8"/>
    <w:rsid w:val="004C201B"/>
    <w:rsid w:val="004E07CA"/>
    <w:rsid w:val="004E333F"/>
    <w:rsid w:val="004F2C42"/>
    <w:rsid w:val="004F3FE8"/>
    <w:rsid w:val="004F478A"/>
    <w:rsid w:val="005139A9"/>
    <w:rsid w:val="00517AA6"/>
    <w:rsid w:val="0052336D"/>
    <w:rsid w:val="00531B23"/>
    <w:rsid w:val="00535431"/>
    <w:rsid w:val="00556D67"/>
    <w:rsid w:val="005623A2"/>
    <w:rsid w:val="00571205"/>
    <w:rsid w:val="0057203A"/>
    <w:rsid w:val="00574121"/>
    <w:rsid w:val="00580098"/>
    <w:rsid w:val="00597048"/>
    <w:rsid w:val="005E0350"/>
    <w:rsid w:val="005E4372"/>
    <w:rsid w:val="006059D9"/>
    <w:rsid w:val="0061244F"/>
    <w:rsid w:val="00624D31"/>
    <w:rsid w:val="006276C3"/>
    <w:rsid w:val="00631CE8"/>
    <w:rsid w:val="0063377B"/>
    <w:rsid w:val="00634DAE"/>
    <w:rsid w:val="00635103"/>
    <w:rsid w:val="00635337"/>
    <w:rsid w:val="00642CB4"/>
    <w:rsid w:val="00646C1B"/>
    <w:rsid w:val="00646F65"/>
    <w:rsid w:val="0066052B"/>
    <w:rsid w:val="00660666"/>
    <w:rsid w:val="006615D4"/>
    <w:rsid w:val="0066496E"/>
    <w:rsid w:val="0068661D"/>
    <w:rsid w:val="006A6665"/>
    <w:rsid w:val="006B09ED"/>
    <w:rsid w:val="006D3738"/>
    <w:rsid w:val="006E36F0"/>
    <w:rsid w:val="006E67A9"/>
    <w:rsid w:val="006F0108"/>
    <w:rsid w:val="006F2574"/>
    <w:rsid w:val="006F3921"/>
    <w:rsid w:val="00700D18"/>
    <w:rsid w:val="007076B4"/>
    <w:rsid w:val="00715B47"/>
    <w:rsid w:val="00716A25"/>
    <w:rsid w:val="007238E5"/>
    <w:rsid w:val="00726488"/>
    <w:rsid w:val="007272A2"/>
    <w:rsid w:val="0073756F"/>
    <w:rsid w:val="00737F7B"/>
    <w:rsid w:val="0074136A"/>
    <w:rsid w:val="00751D6C"/>
    <w:rsid w:val="00752A3B"/>
    <w:rsid w:val="00761B7C"/>
    <w:rsid w:val="007719EF"/>
    <w:rsid w:val="00792EFA"/>
    <w:rsid w:val="00795373"/>
    <w:rsid w:val="007B4F6D"/>
    <w:rsid w:val="007B5EE2"/>
    <w:rsid w:val="007C2DAF"/>
    <w:rsid w:val="007D19C1"/>
    <w:rsid w:val="007D501B"/>
    <w:rsid w:val="007F65B4"/>
    <w:rsid w:val="008100A1"/>
    <w:rsid w:val="00822CD6"/>
    <w:rsid w:val="00824936"/>
    <w:rsid w:val="00832C26"/>
    <w:rsid w:val="00850E7E"/>
    <w:rsid w:val="0085134C"/>
    <w:rsid w:val="00856345"/>
    <w:rsid w:val="00864A30"/>
    <w:rsid w:val="00865AE2"/>
    <w:rsid w:val="00871C48"/>
    <w:rsid w:val="0088668F"/>
    <w:rsid w:val="008909FC"/>
    <w:rsid w:val="00894AD6"/>
    <w:rsid w:val="008A21FD"/>
    <w:rsid w:val="008A3D28"/>
    <w:rsid w:val="008A75F8"/>
    <w:rsid w:val="008B5A6F"/>
    <w:rsid w:val="008B6F00"/>
    <w:rsid w:val="008C6C0C"/>
    <w:rsid w:val="008E04EB"/>
    <w:rsid w:val="00906678"/>
    <w:rsid w:val="00920962"/>
    <w:rsid w:val="00922DBD"/>
    <w:rsid w:val="0093578C"/>
    <w:rsid w:val="009447E4"/>
    <w:rsid w:val="0095329A"/>
    <w:rsid w:val="0097250A"/>
    <w:rsid w:val="00972819"/>
    <w:rsid w:val="00972A8C"/>
    <w:rsid w:val="009973BF"/>
    <w:rsid w:val="009973C6"/>
    <w:rsid w:val="009A31BB"/>
    <w:rsid w:val="009B1629"/>
    <w:rsid w:val="009B6EB0"/>
    <w:rsid w:val="009C09C7"/>
    <w:rsid w:val="009C234C"/>
    <w:rsid w:val="009C4FAF"/>
    <w:rsid w:val="009D4D1E"/>
    <w:rsid w:val="009E5D7B"/>
    <w:rsid w:val="009F25CE"/>
    <w:rsid w:val="00A15B03"/>
    <w:rsid w:val="00A260F8"/>
    <w:rsid w:val="00A43D02"/>
    <w:rsid w:val="00A50888"/>
    <w:rsid w:val="00A52BB9"/>
    <w:rsid w:val="00A64DD7"/>
    <w:rsid w:val="00A760D3"/>
    <w:rsid w:val="00A817DE"/>
    <w:rsid w:val="00A849C0"/>
    <w:rsid w:val="00A8767D"/>
    <w:rsid w:val="00AA70C6"/>
    <w:rsid w:val="00AB1600"/>
    <w:rsid w:val="00AD1C86"/>
    <w:rsid w:val="00AE27C1"/>
    <w:rsid w:val="00AE61F1"/>
    <w:rsid w:val="00AF224C"/>
    <w:rsid w:val="00B06ED0"/>
    <w:rsid w:val="00B177E2"/>
    <w:rsid w:val="00B23F51"/>
    <w:rsid w:val="00B241DF"/>
    <w:rsid w:val="00B37EF5"/>
    <w:rsid w:val="00B41F3B"/>
    <w:rsid w:val="00B4237D"/>
    <w:rsid w:val="00B42B84"/>
    <w:rsid w:val="00B45DA5"/>
    <w:rsid w:val="00B52927"/>
    <w:rsid w:val="00B64915"/>
    <w:rsid w:val="00B73915"/>
    <w:rsid w:val="00B750DF"/>
    <w:rsid w:val="00B76F58"/>
    <w:rsid w:val="00B97277"/>
    <w:rsid w:val="00BA38F6"/>
    <w:rsid w:val="00BD48DD"/>
    <w:rsid w:val="00BE1DF9"/>
    <w:rsid w:val="00BF1058"/>
    <w:rsid w:val="00BF2BE0"/>
    <w:rsid w:val="00C1377E"/>
    <w:rsid w:val="00C178AD"/>
    <w:rsid w:val="00C314CD"/>
    <w:rsid w:val="00C36112"/>
    <w:rsid w:val="00C404B7"/>
    <w:rsid w:val="00C45403"/>
    <w:rsid w:val="00C515AE"/>
    <w:rsid w:val="00C577EE"/>
    <w:rsid w:val="00C73258"/>
    <w:rsid w:val="00C738FD"/>
    <w:rsid w:val="00C839C1"/>
    <w:rsid w:val="00C909FA"/>
    <w:rsid w:val="00CA4FE6"/>
    <w:rsid w:val="00CA6364"/>
    <w:rsid w:val="00CC4D69"/>
    <w:rsid w:val="00CC59A3"/>
    <w:rsid w:val="00CD14A4"/>
    <w:rsid w:val="00CD4BAB"/>
    <w:rsid w:val="00CD4DB7"/>
    <w:rsid w:val="00CF2B68"/>
    <w:rsid w:val="00CF6F29"/>
    <w:rsid w:val="00D11683"/>
    <w:rsid w:val="00D222E8"/>
    <w:rsid w:val="00D2426A"/>
    <w:rsid w:val="00D2544E"/>
    <w:rsid w:val="00D3410E"/>
    <w:rsid w:val="00D67E24"/>
    <w:rsid w:val="00D706D8"/>
    <w:rsid w:val="00D75720"/>
    <w:rsid w:val="00D8128E"/>
    <w:rsid w:val="00D97AD6"/>
    <w:rsid w:val="00D97DDE"/>
    <w:rsid w:val="00DA1B24"/>
    <w:rsid w:val="00DA1CE8"/>
    <w:rsid w:val="00DA59F3"/>
    <w:rsid w:val="00DB6E68"/>
    <w:rsid w:val="00DC0766"/>
    <w:rsid w:val="00DD2A12"/>
    <w:rsid w:val="00DD55F1"/>
    <w:rsid w:val="00DE38B1"/>
    <w:rsid w:val="00DE7BEE"/>
    <w:rsid w:val="00DF37F8"/>
    <w:rsid w:val="00DF5791"/>
    <w:rsid w:val="00DF7821"/>
    <w:rsid w:val="00E05077"/>
    <w:rsid w:val="00E06D0E"/>
    <w:rsid w:val="00E07905"/>
    <w:rsid w:val="00E14C65"/>
    <w:rsid w:val="00E20AF1"/>
    <w:rsid w:val="00E234DA"/>
    <w:rsid w:val="00E26F66"/>
    <w:rsid w:val="00E3659D"/>
    <w:rsid w:val="00E36602"/>
    <w:rsid w:val="00E411FF"/>
    <w:rsid w:val="00E50B50"/>
    <w:rsid w:val="00E62D4F"/>
    <w:rsid w:val="00E7425E"/>
    <w:rsid w:val="00E76B6F"/>
    <w:rsid w:val="00E84CEA"/>
    <w:rsid w:val="00E85BE4"/>
    <w:rsid w:val="00E941BE"/>
    <w:rsid w:val="00EA4A46"/>
    <w:rsid w:val="00EA6064"/>
    <w:rsid w:val="00EB3245"/>
    <w:rsid w:val="00EC1F4D"/>
    <w:rsid w:val="00EC72A9"/>
    <w:rsid w:val="00EC7D87"/>
    <w:rsid w:val="00ED6AF0"/>
    <w:rsid w:val="00EE3D0D"/>
    <w:rsid w:val="00EE5BCD"/>
    <w:rsid w:val="00EF45F4"/>
    <w:rsid w:val="00F152E8"/>
    <w:rsid w:val="00F2053D"/>
    <w:rsid w:val="00F45B7B"/>
    <w:rsid w:val="00F57A51"/>
    <w:rsid w:val="00F81603"/>
    <w:rsid w:val="00F911E0"/>
    <w:rsid w:val="00FB402A"/>
    <w:rsid w:val="00FB4108"/>
    <w:rsid w:val="00FC15C8"/>
    <w:rsid w:val="00FD4F1D"/>
    <w:rsid w:val="00FD5C24"/>
    <w:rsid w:val="00FD7C81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2A45"/>
  <w15:docId w15:val="{0258643D-A636-4105-A489-2B155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BFB2B-FE44-45E4-9525-12DDF1FA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272</cp:revision>
  <cp:lastPrinted>2023-01-11T11:17:00Z</cp:lastPrinted>
  <dcterms:created xsi:type="dcterms:W3CDTF">2014-04-08T10:16:00Z</dcterms:created>
  <dcterms:modified xsi:type="dcterms:W3CDTF">2023-01-11T14:46:00Z</dcterms:modified>
</cp:coreProperties>
</file>