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DA6C" w14:textId="2D01CC04" w:rsidR="003625CD" w:rsidRDefault="003625CD" w:rsidP="00B06072">
      <w:pPr>
        <w:jc w:val="center"/>
        <w:rPr>
          <w:rFonts w:ascii="Times New Roman" w:hAnsi="Times New Roman" w:cs="Times New Roman"/>
          <w:b/>
          <w:bCs/>
          <w:sz w:val="28"/>
          <w:szCs w:val="28"/>
        </w:rPr>
      </w:pPr>
      <w:r w:rsidRPr="003625CD">
        <w:rPr>
          <w:rFonts w:ascii="Times New Roman" w:hAnsi="Times New Roman" w:cs="Times New Roman"/>
          <w:b/>
          <w:bCs/>
          <w:sz w:val="28"/>
          <w:szCs w:val="28"/>
        </w:rPr>
        <w:t>О</w:t>
      </w:r>
      <w:r w:rsidRPr="003625CD">
        <w:rPr>
          <w:rFonts w:ascii="Times New Roman" w:hAnsi="Times New Roman" w:cs="Times New Roman"/>
          <w:b/>
          <w:bCs/>
          <w:sz w:val="28"/>
          <w:szCs w:val="28"/>
        </w:rPr>
        <w:t>сновные положения</w:t>
      </w:r>
      <w:r w:rsidR="00234B92">
        <w:rPr>
          <w:rFonts w:ascii="Times New Roman" w:hAnsi="Times New Roman" w:cs="Times New Roman"/>
          <w:b/>
          <w:bCs/>
          <w:sz w:val="28"/>
          <w:szCs w:val="28"/>
        </w:rPr>
        <w:t xml:space="preserve"> Единой</w:t>
      </w:r>
      <w:r w:rsidRPr="003625CD">
        <w:rPr>
          <w:rFonts w:ascii="Times New Roman" w:hAnsi="Times New Roman" w:cs="Times New Roman"/>
          <w:b/>
          <w:bCs/>
          <w:sz w:val="28"/>
          <w:szCs w:val="28"/>
        </w:rPr>
        <w:t xml:space="preserve"> учетной политики </w:t>
      </w:r>
      <w:r w:rsidR="00BA480C">
        <w:rPr>
          <w:rFonts w:ascii="Times New Roman" w:hAnsi="Times New Roman" w:cs="Times New Roman"/>
          <w:b/>
          <w:bCs/>
          <w:sz w:val="28"/>
          <w:szCs w:val="28"/>
        </w:rPr>
        <w:t>для публичного раскрытия на официальном сайте в информационно</w:t>
      </w:r>
      <w:r w:rsidR="00B06072">
        <w:rPr>
          <w:rFonts w:ascii="Times New Roman" w:hAnsi="Times New Roman" w:cs="Times New Roman"/>
          <w:b/>
          <w:bCs/>
          <w:sz w:val="28"/>
          <w:szCs w:val="28"/>
        </w:rPr>
        <w:t>-</w:t>
      </w:r>
      <w:r w:rsidR="00BA480C">
        <w:rPr>
          <w:rFonts w:ascii="Times New Roman" w:hAnsi="Times New Roman" w:cs="Times New Roman"/>
          <w:b/>
          <w:bCs/>
          <w:sz w:val="28"/>
          <w:szCs w:val="28"/>
        </w:rPr>
        <w:t>телекоммуникационной сети «Интернет» в соответствии с</w:t>
      </w:r>
      <w:r w:rsidR="00BA480C" w:rsidRPr="00BA480C">
        <w:rPr>
          <w:rFonts w:ascii="Times New Roman" w:hAnsi="Times New Roman" w:cs="Times New Roman"/>
          <w:b/>
          <w:bCs/>
          <w:sz w:val="28"/>
          <w:szCs w:val="28"/>
        </w:rPr>
        <w:t xml:space="preserve"> </w:t>
      </w:r>
      <w:r w:rsidR="001A2116" w:rsidRPr="00BA480C">
        <w:rPr>
          <w:rFonts w:ascii="Times New Roman" w:hAnsi="Times New Roman" w:cs="Times New Roman"/>
          <w:b/>
          <w:bCs/>
          <w:sz w:val="28"/>
          <w:szCs w:val="28"/>
        </w:rPr>
        <w:t>абзац</w:t>
      </w:r>
      <w:r w:rsidR="001A2116">
        <w:rPr>
          <w:rFonts w:ascii="Times New Roman" w:hAnsi="Times New Roman" w:cs="Times New Roman"/>
          <w:b/>
          <w:bCs/>
          <w:sz w:val="28"/>
          <w:szCs w:val="28"/>
        </w:rPr>
        <w:t>ем</w:t>
      </w:r>
      <w:r w:rsidR="00BA480C" w:rsidRPr="00BA480C">
        <w:rPr>
          <w:rFonts w:ascii="Times New Roman" w:hAnsi="Times New Roman" w:cs="Times New Roman"/>
          <w:b/>
          <w:bCs/>
          <w:sz w:val="28"/>
          <w:szCs w:val="28"/>
        </w:rPr>
        <w:t xml:space="preserve"> 11 пункта 14 федерального </w:t>
      </w:r>
      <w:r w:rsidR="00BA480C">
        <w:rPr>
          <w:rFonts w:ascii="Times New Roman" w:hAnsi="Times New Roman" w:cs="Times New Roman"/>
          <w:b/>
          <w:bCs/>
          <w:sz w:val="28"/>
          <w:szCs w:val="28"/>
        </w:rPr>
        <w:t>с</w:t>
      </w:r>
      <w:r w:rsidR="00BA480C" w:rsidRPr="00BA480C">
        <w:rPr>
          <w:rFonts w:ascii="Times New Roman" w:hAnsi="Times New Roman" w:cs="Times New Roman"/>
          <w:b/>
          <w:bCs/>
          <w:sz w:val="28"/>
          <w:szCs w:val="28"/>
        </w:rPr>
        <w:t>тандарта бухгалтерского учета</w:t>
      </w:r>
      <w:r w:rsidR="00B06072">
        <w:rPr>
          <w:rFonts w:ascii="Times New Roman" w:hAnsi="Times New Roman" w:cs="Times New Roman"/>
          <w:b/>
          <w:bCs/>
          <w:sz w:val="28"/>
          <w:szCs w:val="28"/>
        </w:rPr>
        <w:t xml:space="preserve"> </w:t>
      </w:r>
      <w:r w:rsidR="00BA480C" w:rsidRPr="00BA480C">
        <w:rPr>
          <w:rFonts w:ascii="Times New Roman" w:hAnsi="Times New Roman" w:cs="Times New Roman"/>
          <w:b/>
          <w:bCs/>
          <w:sz w:val="28"/>
          <w:szCs w:val="28"/>
        </w:rPr>
        <w:t>для организаций государственного сектора «Концептуальные основы бухгалтерского</w:t>
      </w:r>
      <w:r w:rsidR="00B06072">
        <w:rPr>
          <w:rFonts w:ascii="Times New Roman" w:hAnsi="Times New Roman" w:cs="Times New Roman"/>
          <w:b/>
          <w:bCs/>
          <w:sz w:val="28"/>
          <w:szCs w:val="28"/>
        </w:rPr>
        <w:t xml:space="preserve"> </w:t>
      </w:r>
      <w:r w:rsidR="00BA480C" w:rsidRPr="00BA480C">
        <w:rPr>
          <w:rFonts w:ascii="Times New Roman" w:hAnsi="Times New Roman" w:cs="Times New Roman"/>
          <w:b/>
          <w:bCs/>
          <w:sz w:val="28"/>
          <w:szCs w:val="28"/>
        </w:rPr>
        <w:t>учета и отчетности организаций государственного сектора», утвержденного приказом</w:t>
      </w:r>
      <w:r w:rsidR="00B06072">
        <w:rPr>
          <w:rFonts w:ascii="Times New Roman" w:hAnsi="Times New Roman" w:cs="Times New Roman"/>
          <w:b/>
          <w:bCs/>
          <w:sz w:val="28"/>
          <w:szCs w:val="28"/>
        </w:rPr>
        <w:t xml:space="preserve"> </w:t>
      </w:r>
      <w:r w:rsidR="00BA480C" w:rsidRPr="00BA480C">
        <w:rPr>
          <w:rFonts w:ascii="Times New Roman" w:hAnsi="Times New Roman" w:cs="Times New Roman"/>
          <w:b/>
          <w:bCs/>
          <w:sz w:val="28"/>
          <w:szCs w:val="28"/>
        </w:rPr>
        <w:t>Министерства финансов России от 31 декабря 2016 г. № 256н</w:t>
      </w:r>
    </w:p>
    <w:p w14:paraId="75902E7A" w14:textId="6E1A601B" w:rsidR="0009764D" w:rsidRPr="00B06072" w:rsidRDefault="0009764D" w:rsidP="0009764D">
      <w:pPr>
        <w:ind w:left="-426" w:firstLine="284"/>
        <w:rPr>
          <w:rFonts w:ascii="Times New Roman" w:eastAsia="Calibri" w:hAnsi="Times New Roman" w:cs="Times New Roman"/>
          <w:bCs/>
          <w:sz w:val="28"/>
          <w:szCs w:val="28"/>
        </w:rPr>
      </w:pPr>
      <w:r w:rsidRPr="003625CD">
        <w:rPr>
          <w:rFonts w:ascii="Times New Roman" w:eastAsia="Calibri" w:hAnsi="Times New Roman" w:cs="Times New Roman"/>
          <w:bCs/>
          <w:sz w:val="28"/>
          <w:szCs w:val="28"/>
        </w:rPr>
        <w:t>Организация ведения бухгалтерского учета</w:t>
      </w:r>
      <w:r w:rsidRPr="00B06072">
        <w:rPr>
          <w:rFonts w:ascii="Times New Roman" w:eastAsia="Calibri" w:hAnsi="Times New Roman" w:cs="Times New Roman"/>
          <w:bCs/>
          <w:sz w:val="28"/>
          <w:szCs w:val="28"/>
        </w:rPr>
        <w:t xml:space="preserve"> и формирование бюджетной отчетности регламентируется </w:t>
      </w:r>
      <w:r w:rsidRPr="00B06072">
        <w:rPr>
          <w:rFonts w:ascii="Times New Roman" w:eastAsia="Calibri" w:hAnsi="Times New Roman" w:cs="Times New Roman"/>
          <w:bCs/>
          <w:sz w:val="28"/>
          <w:szCs w:val="28"/>
        </w:rPr>
        <w:t>в соответствии с требованиями следующих документов:</w:t>
      </w:r>
    </w:p>
    <w:p w14:paraId="0E9610A2"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Бюджетный кодекс РФ (далее - БК РФ);</w:t>
      </w:r>
    </w:p>
    <w:p w14:paraId="2E08CEC0"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закон от 06.12.2011 № 402-ФЗ "О бухгалтерском учете" (далее - Закон № 402-ФЗ);</w:t>
      </w:r>
    </w:p>
    <w:p w14:paraId="22F0628F"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закон от 12.01.1996 № 7-ФЗ "О некоммерческих организациях" (далее - Закон № 7-ФЗ);</w:t>
      </w:r>
    </w:p>
    <w:p w14:paraId="7B01D45F"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СГС "Концептуальные основы");</w:t>
      </w:r>
    </w:p>
    <w:p w14:paraId="103D4B35"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 (далее - СГС "Основные средства");</w:t>
      </w:r>
    </w:p>
    <w:p w14:paraId="1A7AEC20"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"Аренда", утвержденный Приказом Минфина России от 31.12.2016 № 258н (далее - СГС "Аренда");</w:t>
      </w:r>
    </w:p>
    <w:p w14:paraId="78C1401E"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 (далее - СГС "Обесценение активов");</w:t>
      </w:r>
    </w:p>
    <w:p w14:paraId="28C5BD74"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СГС "Представление отчетности");</w:t>
      </w:r>
    </w:p>
    <w:p w14:paraId="4501DD0A"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СГС "Отчет о движении денежных средств");</w:t>
      </w:r>
    </w:p>
    <w:p w14:paraId="73899090"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lastRenderedPageBreak/>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СГС "Учетная политика");</w:t>
      </w:r>
    </w:p>
    <w:p w14:paraId="7F7BCC89"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 (далее - СГС "События после отчетной даты");</w:t>
      </w:r>
    </w:p>
    <w:p w14:paraId="4B629715"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"Доходы", утвержденный Приказом Минфина России от 27.02.2018 № 32н (далее - СГС "Доходы");</w:t>
      </w:r>
    </w:p>
    <w:p w14:paraId="204AEF73"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СГС "Влияние изменений курсов иностранных валют");</w:t>
      </w:r>
    </w:p>
    <w:p w14:paraId="75D0DB0D"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14:paraId="68707E7A"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14:paraId="3EB0F8CB"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СГС "Бюджетная информация в бухгалтерской (финансовой) отчетности");</w:t>
      </w:r>
    </w:p>
    <w:p w14:paraId="264561DC"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СГС "Резервы");</w:t>
      </w:r>
    </w:p>
    <w:p w14:paraId="4EC7EDCB"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 145н (далее - СГС "Долгосрочные договоры");</w:t>
      </w:r>
    </w:p>
    <w:p w14:paraId="66FA596A"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для организаций государственного сектора "Запасы", утвержденный Приказом Минфина России от 07.12.2018 № 256н (далее - СГС "Запасы");</w:t>
      </w:r>
    </w:p>
    <w:p w14:paraId="2D451B17"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lastRenderedPageBreak/>
        <w:t>- 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14:paraId="4F2D0431"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14:paraId="0D06A68B"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14:paraId="532FD4B2"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w:t>
      </w:r>
    </w:p>
    <w:p w14:paraId="6CFFA553"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Инструкция по применению Плана счетов бюджетного учета, утвержденная Приказом Минфина России от 06.12.2010 № 162н (далее - Инструкция № 162н);</w:t>
      </w:r>
    </w:p>
    <w:p w14:paraId="26765A3D"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Инструкция по применению Плана счетов бухгалтерского учета, утвержденная Приказом Минфина России от 16.12.2010 N 174н (далее - Инструкция № 174н);</w:t>
      </w:r>
    </w:p>
    <w:p w14:paraId="25709E05"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Приказом Минфина России № 52н);</w:t>
      </w:r>
    </w:p>
    <w:p w14:paraId="6C6AE0B5"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w:t>
      </w:r>
    </w:p>
    <w:p w14:paraId="5B3B771D"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Указание Банка России от 09.12.2019 № 5348-У "О правилах наличных расчетов" (далее - Указание № 5348-У);</w:t>
      </w:r>
    </w:p>
    <w:p w14:paraId="13557B04"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Методические указания по инвентаризации имущества и финансовых обязательств, утвержденные Приказом Минфина России от 13.06.1995 № 49 (далее - Методические указания № 49);</w:t>
      </w:r>
    </w:p>
    <w:p w14:paraId="515CF602"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lastRenderedPageBreak/>
        <w:t>- 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рекомендации № АМ-23-р);</w:t>
      </w:r>
    </w:p>
    <w:p w14:paraId="76569559"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Правила учета и хранения драгоценных металлов, драгоценных камней и продукции из них, а также ведения соответствующей отчетности);</w:t>
      </w:r>
    </w:p>
    <w:p w14:paraId="72AC6360"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Инструкция № 191н);</w:t>
      </w:r>
    </w:p>
    <w:p w14:paraId="5A6D5761"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Инструкция № 33н);</w:t>
      </w:r>
    </w:p>
    <w:p w14:paraId="2FBE07AB"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 231н);</w:t>
      </w:r>
    </w:p>
    <w:p w14:paraId="28390663"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Порядок № 85н);</w:t>
      </w:r>
    </w:p>
    <w:p w14:paraId="2EB6C095"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Порядок применения классификации операций сектора государственного управления, утвержденный Приказом Минфина России от 29.11.2017 № 209н (далее - Порядок применения КОСГУ, Порядок № 209н);</w:t>
      </w:r>
    </w:p>
    <w:p w14:paraId="3406EBF2"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Форма ведения бюджетного (бухгалтерского) учета государственных органов и государственных учреждений, заключившими соглашения о передаче функций по ведению бюджетного (бухгалтерского) учета и формированию бюджетной (бухгалтерской) отчетности, начислению и оплате труда, иных выплат и связанных с ними обязательных платежей в бюджеты бюджетной системы Российской Федерации и в государственные внебюджетные фонды, формированию налоговой отчетности (далее–учреждения) -автоматизированная с применением программного продукта «1С: Предприятие».</w:t>
      </w:r>
    </w:p>
    <w:p w14:paraId="08967843"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Рабочий план счетов формируется в составе кодов счетов учета и правил формирования номеров счетов учета в соответствии с Приложением № 1 к Учетной политике.</w:t>
      </w:r>
    </w:p>
    <w:p w14:paraId="0F90518C"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lastRenderedPageBreak/>
        <w:t>Для отражения объектов учета и изменяющих их фактов хозяйственной жизни используются формы первичных учетных документов:</w:t>
      </w:r>
    </w:p>
    <w:p w14:paraId="2E952BF8"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утвержденные Приказом Минфина России № 52н;</w:t>
      </w:r>
    </w:p>
    <w:p w14:paraId="2BC4A735"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утвержденные правовыми актами уполномоченных органов исполнительной власти (при их отсутствии в Приказе Минфина России № 52н 2н);</w:t>
      </w:r>
    </w:p>
    <w:p w14:paraId="324F5520"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самостоятельно разработанные формы первичных учетных документов в соответствии с Приложением № 2 к Учетной политике.</w:t>
      </w:r>
    </w:p>
    <w:p w14:paraId="2881814C"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Первичные учетные документы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14:paraId="564535EF" w14:textId="1B5E8512"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Применение электронных форм первичных документов и регистров бухгалтерского учета осуществляется в соответствии с распорядительным документом (приказом) руководителя.</w:t>
      </w:r>
    </w:p>
    <w:p w14:paraId="3832EA64"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Составление первичных и сводных учетных документов на бумажных носителях осуществляется в соответствии с  Приложением № 3 к Учетной политике.</w:t>
      </w:r>
    </w:p>
    <w:p w14:paraId="1456CCA2"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Данные первичных (сводных) учетных документов регистрируются, систематизируются и накапливаются в регистрах, составленных:</w:t>
      </w:r>
    </w:p>
    <w:p w14:paraId="60F50F35" w14:textId="77777777" w:rsidR="0009764D" w:rsidRP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по унифицированным формам, утвержденным Приказом Минфина России № 52н;</w:t>
      </w:r>
    </w:p>
    <w:p w14:paraId="04E5ED37" w14:textId="6CFF3C56" w:rsidR="0009764D" w:rsidRDefault="0009764D" w:rsidP="0009764D">
      <w:pPr>
        <w:ind w:left="-426" w:firstLine="284"/>
        <w:rPr>
          <w:rFonts w:ascii="Times New Roman" w:hAnsi="Times New Roman" w:cs="Times New Roman"/>
          <w:bCs/>
          <w:sz w:val="28"/>
          <w:szCs w:val="28"/>
        </w:rPr>
      </w:pPr>
      <w:r w:rsidRPr="0009764D">
        <w:rPr>
          <w:rFonts w:ascii="Times New Roman" w:hAnsi="Times New Roman" w:cs="Times New Roman"/>
          <w:bCs/>
          <w:sz w:val="28"/>
          <w:szCs w:val="28"/>
        </w:rPr>
        <w:t>- по унифицированным формам, утвержденным Приказом Минфина России № 52н, с дополнительными реквизитами.</w:t>
      </w:r>
    </w:p>
    <w:p w14:paraId="5BFC737B" w14:textId="77777777" w:rsidR="0009764D" w:rsidRPr="0009764D" w:rsidRDefault="0009764D" w:rsidP="0009764D">
      <w:pPr>
        <w:spacing w:after="0" w:line="276" w:lineRule="auto"/>
        <w:ind w:firstLine="851"/>
        <w:jc w:val="both"/>
        <w:rPr>
          <w:rFonts w:ascii="Times New Roman" w:eastAsia="Times New Roman" w:hAnsi="Times New Roman" w:cs="Times New Roman"/>
          <w:sz w:val="28"/>
          <w:szCs w:val="28"/>
          <w:lang w:eastAsia="ru-RU"/>
        </w:rPr>
      </w:pPr>
      <w:bookmarkStart w:id="0" w:name="_ref_1-d4540c7543574e"/>
      <w:r w:rsidRPr="0009764D">
        <w:rPr>
          <w:rFonts w:ascii="Times New Roman" w:eastAsia="Times New Roman" w:hAnsi="Times New Roman" w:cs="Times New Roman"/>
          <w:sz w:val="28"/>
          <w:szCs w:val="28"/>
          <w:lang w:eastAsia="ru-RU"/>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0"/>
    </w:p>
    <w:p w14:paraId="7EE72D91" w14:textId="77777777" w:rsidR="0009764D" w:rsidRPr="0009764D" w:rsidRDefault="0009764D" w:rsidP="0009764D">
      <w:pPr>
        <w:spacing w:after="0" w:line="276" w:lineRule="auto"/>
        <w:ind w:firstLine="851"/>
        <w:jc w:val="both"/>
        <w:outlineLvl w:val="1"/>
        <w:rPr>
          <w:rFonts w:ascii="Times New Roman" w:eastAsia="Times New Roman" w:hAnsi="Times New Roman" w:cs="Times New Roman"/>
          <w:bCs/>
          <w:sz w:val="28"/>
          <w:szCs w:val="28"/>
          <w:lang w:eastAsia="ru-RU"/>
        </w:rPr>
      </w:pPr>
      <w:bookmarkStart w:id="1" w:name="_ref_1-baeb86fe901e42"/>
      <w:bookmarkStart w:id="2" w:name="_ref_1-3b014fbeecab49"/>
      <w:r w:rsidRPr="0009764D">
        <w:rPr>
          <w:rFonts w:ascii="Times New Roman" w:eastAsia="Times New Roman" w:hAnsi="Times New Roman" w:cs="Times New Roman"/>
          <w:bCs/>
          <w:sz w:val="28"/>
          <w:szCs w:val="28"/>
          <w:lang w:eastAsia="ru-RU"/>
        </w:rPr>
        <w:lastRenderedPageBreak/>
        <w:t>Правила и график документооборота, а также технология обработки учетной информации приведены в Приложении № 4 к Учетной политике.</w:t>
      </w:r>
      <w:bookmarkEnd w:id="1"/>
    </w:p>
    <w:p w14:paraId="05CC057F" w14:textId="77777777" w:rsidR="0009764D" w:rsidRPr="0009764D" w:rsidRDefault="0009764D" w:rsidP="0009764D">
      <w:pPr>
        <w:spacing w:after="0" w:line="276" w:lineRule="auto"/>
        <w:ind w:firstLine="851"/>
        <w:jc w:val="both"/>
        <w:outlineLvl w:val="1"/>
        <w:rPr>
          <w:rFonts w:ascii="Times New Roman" w:eastAsia="Times New Roman" w:hAnsi="Times New Roman" w:cs="Times New Roman"/>
          <w:bCs/>
          <w:sz w:val="28"/>
          <w:szCs w:val="28"/>
          <w:lang w:eastAsia="ru-RU"/>
        </w:rPr>
      </w:pPr>
      <w:r w:rsidRPr="0009764D">
        <w:rPr>
          <w:rFonts w:ascii="Times New Roman" w:eastAsia="Times New Roman" w:hAnsi="Times New Roman" w:cs="Times New Roman"/>
          <w:bCs/>
          <w:sz w:val="28"/>
          <w:szCs w:val="28"/>
          <w:lang w:eastAsia="ru-RU"/>
        </w:rPr>
        <w:t>Формирование регистров бухгалтерского учета на бумажном носителе осуществляется с периодичностью, предусмотренной в Приложении № 5 к Учетной политике.</w:t>
      </w:r>
      <w:bookmarkEnd w:id="2"/>
    </w:p>
    <w:p w14:paraId="7EFB8950" w14:textId="77777777" w:rsidR="0009764D" w:rsidRPr="0009764D" w:rsidRDefault="0009764D" w:rsidP="0009764D">
      <w:pPr>
        <w:spacing w:after="0" w:line="276" w:lineRule="auto"/>
        <w:ind w:firstLine="851"/>
        <w:jc w:val="both"/>
        <w:outlineLvl w:val="1"/>
        <w:rPr>
          <w:rFonts w:ascii="Times New Roman" w:eastAsia="Times New Roman" w:hAnsi="Times New Roman" w:cs="Times New Roman"/>
          <w:bCs/>
          <w:sz w:val="28"/>
          <w:szCs w:val="28"/>
          <w:lang w:eastAsia="ru-RU"/>
        </w:rPr>
      </w:pPr>
      <w:bookmarkStart w:id="3" w:name="_ref_1-e05e4bef9e0246"/>
      <w:r w:rsidRPr="0009764D">
        <w:rPr>
          <w:rFonts w:ascii="Times New Roman" w:eastAsia="Times New Roman" w:hAnsi="Times New Roman" w:cs="Times New Roman"/>
          <w:bCs/>
          <w:sz w:val="28"/>
          <w:szCs w:val="28"/>
          <w:lang w:eastAsia="ru-RU"/>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6 к Учетной политике.</w:t>
      </w:r>
      <w:bookmarkEnd w:id="3"/>
    </w:p>
    <w:p w14:paraId="12CFBA67" w14:textId="77777777" w:rsidR="0009764D" w:rsidRPr="0009764D" w:rsidRDefault="0009764D" w:rsidP="0009764D">
      <w:pPr>
        <w:spacing w:after="0" w:line="276" w:lineRule="auto"/>
        <w:ind w:firstLine="851"/>
        <w:jc w:val="both"/>
        <w:outlineLvl w:val="1"/>
        <w:rPr>
          <w:rFonts w:ascii="Times New Roman" w:eastAsia="Times New Roman" w:hAnsi="Times New Roman" w:cs="Times New Roman"/>
          <w:bCs/>
          <w:sz w:val="28"/>
          <w:szCs w:val="28"/>
          <w:lang w:eastAsia="ru-RU"/>
        </w:rPr>
      </w:pPr>
      <w:bookmarkStart w:id="4" w:name="_ref_1-aa1ac911f90346"/>
      <w:r w:rsidRPr="0009764D">
        <w:rPr>
          <w:rFonts w:ascii="Times New Roman" w:eastAsia="Times New Roman" w:hAnsi="Times New Roman" w:cs="Times New Roman"/>
          <w:bCs/>
          <w:sz w:val="28"/>
          <w:szCs w:val="28"/>
          <w:lang w:eastAsia="ru-RU"/>
        </w:rPr>
        <w:t>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7 к Учетной политике.</w:t>
      </w:r>
      <w:bookmarkEnd w:id="4"/>
    </w:p>
    <w:p w14:paraId="462EAA1B" w14:textId="77777777" w:rsidR="0009764D" w:rsidRPr="0009764D" w:rsidRDefault="0009764D" w:rsidP="0009764D">
      <w:pPr>
        <w:spacing w:after="0" w:line="276" w:lineRule="auto"/>
        <w:ind w:firstLine="851"/>
        <w:jc w:val="both"/>
        <w:outlineLvl w:val="1"/>
        <w:rPr>
          <w:rFonts w:ascii="Times New Roman" w:eastAsia="Times New Roman" w:hAnsi="Times New Roman" w:cs="Times New Roman"/>
          <w:bCs/>
          <w:sz w:val="28"/>
          <w:szCs w:val="28"/>
          <w:lang w:eastAsia="ru-RU"/>
        </w:rPr>
      </w:pPr>
      <w:bookmarkStart w:id="5" w:name="_ref_1-a198a959a7d149"/>
      <w:r w:rsidRPr="0009764D">
        <w:rPr>
          <w:rFonts w:ascii="Times New Roman" w:eastAsia="Times New Roman" w:hAnsi="Times New Roman" w:cs="Times New Roman"/>
          <w:bCs/>
          <w:sz w:val="28"/>
          <w:szCs w:val="28"/>
          <w:lang w:eastAsia="ru-RU"/>
        </w:rPr>
        <w:t xml:space="preserve">В графе </w:t>
      </w:r>
      <w:hyperlink r:id="rId4" w:history="1">
        <w:r w:rsidRPr="0009764D">
          <w:rPr>
            <w:rFonts w:ascii="Times New Roman" w:eastAsia="Times New Roman" w:hAnsi="Times New Roman" w:cs="Times New Roman"/>
            <w:bCs/>
            <w:color w:val="0000FF"/>
            <w:sz w:val="28"/>
            <w:szCs w:val="28"/>
            <w:u w:val="single"/>
            <w:lang w:eastAsia="ru-RU"/>
          </w:rPr>
          <w:t>8</w:t>
        </w:r>
      </w:hyperlink>
      <w:r w:rsidRPr="0009764D">
        <w:rPr>
          <w:rFonts w:ascii="Times New Roman" w:eastAsia="Times New Roman" w:hAnsi="Times New Roman" w:cs="Times New Roman"/>
          <w:bCs/>
          <w:sz w:val="28"/>
          <w:szCs w:val="28"/>
          <w:lang w:eastAsia="ru-RU"/>
        </w:rPr>
        <w:t xml:space="preserve"> Инвентаризационной описи (сличительной ведомости) по объектам нефинансовых активов (</w:t>
      </w:r>
      <w:hyperlink r:id="rId5" w:history="1">
        <w:r w:rsidRPr="0009764D">
          <w:rPr>
            <w:rFonts w:ascii="Times New Roman" w:eastAsia="Times New Roman" w:hAnsi="Times New Roman" w:cs="Times New Roman"/>
            <w:bCs/>
            <w:color w:val="0000FF"/>
            <w:sz w:val="28"/>
            <w:szCs w:val="28"/>
            <w:u w:val="single"/>
            <w:lang w:eastAsia="ru-RU"/>
          </w:rPr>
          <w:t>ф. 0504087</w:t>
        </w:r>
      </w:hyperlink>
      <w:r w:rsidRPr="0009764D">
        <w:rPr>
          <w:rFonts w:ascii="Times New Roman" w:eastAsia="Times New Roman" w:hAnsi="Times New Roman" w:cs="Times New Roman"/>
          <w:bCs/>
          <w:sz w:val="28"/>
          <w:szCs w:val="28"/>
          <w:lang w:eastAsia="ru-RU"/>
        </w:rPr>
        <w:t>) отражается статус объекта учета по его наименованию и коду.</w:t>
      </w:r>
      <w:bookmarkEnd w:id="5"/>
    </w:p>
    <w:p w14:paraId="0740997D" w14:textId="77777777" w:rsidR="0009764D" w:rsidRPr="0009764D" w:rsidRDefault="0009764D" w:rsidP="0009764D">
      <w:pPr>
        <w:spacing w:after="0" w:line="276" w:lineRule="auto"/>
        <w:ind w:firstLine="851"/>
        <w:jc w:val="both"/>
        <w:outlineLvl w:val="1"/>
        <w:rPr>
          <w:rFonts w:ascii="Times New Roman" w:eastAsia="Times New Roman" w:hAnsi="Times New Roman" w:cs="Times New Roman"/>
          <w:bCs/>
          <w:sz w:val="28"/>
          <w:szCs w:val="28"/>
          <w:lang w:eastAsia="ru-RU"/>
        </w:rPr>
      </w:pPr>
      <w:bookmarkStart w:id="6" w:name="_ref_1-1300097c456f47"/>
      <w:r w:rsidRPr="0009764D">
        <w:rPr>
          <w:rFonts w:ascii="Times New Roman" w:eastAsia="Times New Roman" w:hAnsi="Times New Roman" w:cs="Times New Roman"/>
          <w:bCs/>
          <w:sz w:val="28"/>
          <w:szCs w:val="28"/>
          <w:lang w:eastAsia="ru-RU"/>
        </w:rPr>
        <w:t xml:space="preserve">В графе </w:t>
      </w:r>
      <w:hyperlink r:id="rId6" w:history="1">
        <w:r w:rsidRPr="0009764D">
          <w:rPr>
            <w:rFonts w:ascii="Times New Roman" w:eastAsia="Times New Roman" w:hAnsi="Times New Roman" w:cs="Times New Roman"/>
            <w:bCs/>
            <w:color w:val="0000FF"/>
            <w:sz w:val="28"/>
            <w:szCs w:val="28"/>
            <w:u w:val="single"/>
            <w:lang w:eastAsia="ru-RU"/>
          </w:rPr>
          <w:t>9</w:t>
        </w:r>
      </w:hyperlink>
      <w:r w:rsidRPr="0009764D">
        <w:rPr>
          <w:rFonts w:ascii="Times New Roman" w:eastAsia="Times New Roman" w:hAnsi="Times New Roman" w:cs="Times New Roman"/>
          <w:bCs/>
          <w:sz w:val="28"/>
          <w:szCs w:val="28"/>
          <w:lang w:eastAsia="ru-RU"/>
        </w:rPr>
        <w:t xml:space="preserve"> Инвентаризационной описи (сличительной ведомости) по объектам нефинансовых активов (</w:t>
      </w:r>
      <w:hyperlink r:id="rId7" w:history="1">
        <w:r w:rsidRPr="0009764D">
          <w:rPr>
            <w:rFonts w:ascii="Times New Roman" w:eastAsia="Times New Roman" w:hAnsi="Times New Roman" w:cs="Times New Roman"/>
            <w:bCs/>
            <w:color w:val="0000FF"/>
            <w:sz w:val="28"/>
            <w:szCs w:val="28"/>
            <w:u w:val="single"/>
            <w:lang w:eastAsia="ru-RU"/>
          </w:rPr>
          <w:t>ф. 0504087</w:t>
        </w:r>
      </w:hyperlink>
      <w:r w:rsidRPr="0009764D">
        <w:rPr>
          <w:rFonts w:ascii="Times New Roman" w:eastAsia="Times New Roman" w:hAnsi="Times New Roman" w:cs="Times New Roman"/>
          <w:bCs/>
          <w:sz w:val="28"/>
          <w:szCs w:val="28"/>
          <w:lang w:eastAsia="ru-RU"/>
        </w:rPr>
        <w:t>) отражается целевая функция актива по ее наименованию и коду.</w:t>
      </w:r>
      <w:bookmarkEnd w:id="6"/>
    </w:p>
    <w:p w14:paraId="544D156B" w14:textId="77777777" w:rsidR="0009764D" w:rsidRPr="0009764D" w:rsidRDefault="0009764D" w:rsidP="0009764D">
      <w:pPr>
        <w:spacing w:after="0" w:line="276" w:lineRule="auto"/>
        <w:ind w:firstLine="851"/>
        <w:jc w:val="both"/>
        <w:outlineLvl w:val="1"/>
        <w:rPr>
          <w:rFonts w:ascii="Times New Roman" w:eastAsia="Times New Roman" w:hAnsi="Times New Roman" w:cs="Times New Roman"/>
          <w:bCs/>
          <w:sz w:val="28"/>
          <w:szCs w:val="28"/>
          <w:lang w:eastAsia="ru-RU"/>
        </w:rPr>
      </w:pPr>
      <w:bookmarkStart w:id="7" w:name="_ref_1-e59712ae470b46"/>
      <w:r w:rsidRPr="0009764D">
        <w:rPr>
          <w:rFonts w:ascii="Times New Roman" w:eastAsia="Times New Roman" w:hAnsi="Times New Roman" w:cs="Times New Roman"/>
          <w:bCs/>
          <w:sz w:val="28"/>
          <w:szCs w:val="28"/>
          <w:lang w:eastAsia="ru-RU"/>
        </w:rPr>
        <w:t>Выдача денежных средств под отчет производится в соответствии с порядком, приведенным в Приложении № 8 к Учетной политике.</w:t>
      </w:r>
      <w:bookmarkEnd w:id="7"/>
    </w:p>
    <w:p w14:paraId="2C3B8EE0" w14:textId="77777777" w:rsidR="0009764D" w:rsidRPr="0009764D" w:rsidRDefault="0009764D" w:rsidP="0009764D">
      <w:pPr>
        <w:spacing w:after="0" w:line="276" w:lineRule="auto"/>
        <w:ind w:firstLine="851"/>
        <w:jc w:val="both"/>
        <w:outlineLvl w:val="1"/>
        <w:rPr>
          <w:rFonts w:ascii="Times New Roman" w:eastAsia="Times New Roman" w:hAnsi="Times New Roman" w:cs="Times New Roman"/>
          <w:bCs/>
          <w:sz w:val="28"/>
          <w:szCs w:val="28"/>
          <w:lang w:eastAsia="ru-RU"/>
        </w:rPr>
      </w:pPr>
      <w:bookmarkStart w:id="8" w:name="_ref_1-34559a386f5641"/>
      <w:r w:rsidRPr="0009764D">
        <w:rPr>
          <w:rFonts w:ascii="Times New Roman" w:eastAsia="Times New Roman" w:hAnsi="Times New Roman" w:cs="Times New Roman"/>
          <w:bCs/>
          <w:sz w:val="28"/>
          <w:szCs w:val="28"/>
          <w:lang w:eastAsia="ru-RU"/>
        </w:rPr>
        <w:t>Выдача под отчет денежных документов производится в соответствии с порядком, приведенным в Приложении № 9 к Учетной политике.</w:t>
      </w:r>
      <w:bookmarkEnd w:id="8"/>
    </w:p>
    <w:p w14:paraId="03E4FB86" w14:textId="530C21E8" w:rsidR="0009764D" w:rsidRDefault="0009764D" w:rsidP="0009764D">
      <w:pPr>
        <w:spacing w:after="0" w:line="276" w:lineRule="auto"/>
        <w:ind w:firstLine="851"/>
        <w:jc w:val="both"/>
        <w:outlineLvl w:val="1"/>
        <w:rPr>
          <w:rFonts w:ascii="Times New Roman" w:eastAsia="Times New Roman" w:hAnsi="Times New Roman" w:cs="Times New Roman"/>
          <w:bCs/>
          <w:sz w:val="28"/>
          <w:szCs w:val="28"/>
          <w:lang w:eastAsia="ru-RU"/>
        </w:rPr>
      </w:pPr>
      <w:bookmarkStart w:id="9" w:name="_ref_1-2811697ebb6c41"/>
      <w:r w:rsidRPr="0009764D">
        <w:rPr>
          <w:rFonts w:ascii="Times New Roman" w:eastAsia="Times New Roman" w:hAnsi="Times New Roman" w:cs="Times New Roman"/>
          <w:bCs/>
          <w:sz w:val="28"/>
          <w:szCs w:val="28"/>
          <w:lang w:eastAsia="ru-RU"/>
        </w:rPr>
        <w:t>Бланки строгой отчетности принимаются, хранятся и выдаются в соответствии с порядком, приведенным в Приложении № 10 к Учетной политике.</w:t>
      </w:r>
      <w:bookmarkEnd w:id="9"/>
    </w:p>
    <w:p w14:paraId="137DA431" w14:textId="77777777" w:rsidR="001A2116" w:rsidRPr="0009764D" w:rsidRDefault="001A2116" w:rsidP="0009764D">
      <w:pPr>
        <w:spacing w:after="0" w:line="276" w:lineRule="auto"/>
        <w:ind w:firstLine="851"/>
        <w:jc w:val="both"/>
        <w:outlineLvl w:val="1"/>
        <w:rPr>
          <w:rFonts w:ascii="Times New Roman" w:eastAsia="Times New Roman" w:hAnsi="Times New Roman" w:cs="Times New Roman"/>
          <w:bCs/>
          <w:sz w:val="28"/>
          <w:szCs w:val="28"/>
          <w:lang w:eastAsia="ru-RU"/>
        </w:rPr>
      </w:pPr>
    </w:p>
    <w:p w14:paraId="0291F67C" w14:textId="77777777" w:rsidR="0009764D" w:rsidRPr="0009764D" w:rsidRDefault="0009764D" w:rsidP="0009764D">
      <w:pPr>
        <w:spacing w:after="0" w:line="276" w:lineRule="auto"/>
        <w:ind w:firstLine="851"/>
        <w:jc w:val="both"/>
        <w:outlineLvl w:val="1"/>
        <w:rPr>
          <w:rFonts w:ascii="Times New Roman" w:eastAsia="Times New Roman" w:hAnsi="Times New Roman" w:cs="Times New Roman"/>
          <w:bCs/>
          <w:sz w:val="28"/>
          <w:szCs w:val="28"/>
          <w:lang w:eastAsia="ru-RU"/>
        </w:rPr>
      </w:pPr>
      <w:bookmarkStart w:id="10" w:name="_ref_1-e0e90d0a0de141"/>
      <w:r w:rsidRPr="0009764D">
        <w:rPr>
          <w:rFonts w:ascii="Times New Roman" w:eastAsia="Times New Roman" w:hAnsi="Times New Roman" w:cs="Times New Roman"/>
          <w:bCs/>
          <w:sz w:val="28"/>
          <w:szCs w:val="28"/>
          <w:lang w:eastAsia="ru-RU"/>
        </w:rPr>
        <w:t xml:space="preserve">Признание событий после отчетной даты и отражение информации о них в отчетности осуществляется в соответствии с порядком, приведенным в Приложении № </w:t>
      </w:r>
      <w:r w:rsidRPr="0009764D">
        <w:rPr>
          <w:rFonts w:ascii="Times New Roman" w:eastAsia="Times New Roman" w:hAnsi="Times New Roman" w:cs="Times New Roman"/>
          <w:bCs/>
          <w:sz w:val="28"/>
          <w:szCs w:val="28"/>
          <w:lang w:eastAsia="ru-RU"/>
        </w:rPr>
        <w:fldChar w:fldCharType="begin" w:fldLock="1"/>
      </w:r>
      <w:r w:rsidRPr="0009764D">
        <w:rPr>
          <w:rFonts w:ascii="Times New Roman" w:eastAsia="Times New Roman" w:hAnsi="Times New Roman" w:cs="Times New Roman"/>
          <w:bCs/>
          <w:sz w:val="28"/>
          <w:szCs w:val="28"/>
          <w:lang w:eastAsia="ru-RU"/>
        </w:rPr>
        <w:instrText xml:space="preserve"> REF _ref_1-3b7ef99f32b748 \h \n \!  \* MERGEFORMAT </w:instrText>
      </w:r>
      <w:r w:rsidRPr="0009764D">
        <w:rPr>
          <w:rFonts w:ascii="Times New Roman" w:eastAsia="Times New Roman" w:hAnsi="Times New Roman" w:cs="Times New Roman"/>
          <w:bCs/>
          <w:sz w:val="28"/>
          <w:szCs w:val="28"/>
          <w:lang w:eastAsia="ru-RU"/>
        </w:rPr>
      </w:r>
      <w:r w:rsidRPr="0009764D">
        <w:rPr>
          <w:rFonts w:ascii="Times New Roman" w:eastAsia="Times New Roman" w:hAnsi="Times New Roman" w:cs="Times New Roman"/>
          <w:bCs/>
          <w:sz w:val="28"/>
          <w:szCs w:val="28"/>
          <w:lang w:eastAsia="ru-RU"/>
        </w:rPr>
        <w:fldChar w:fldCharType="separate"/>
      </w:r>
      <w:r w:rsidRPr="0009764D">
        <w:rPr>
          <w:rFonts w:ascii="Times New Roman" w:eastAsia="Times New Roman" w:hAnsi="Times New Roman" w:cs="Times New Roman"/>
          <w:bCs/>
          <w:sz w:val="28"/>
          <w:szCs w:val="28"/>
          <w:lang w:eastAsia="ru-RU"/>
        </w:rPr>
        <w:t>11</w:t>
      </w:r>
      <w:r w:rsidRPr="0009764D">
        <w:rPr>
          <w:rFonts w:ascii="Times New Roman" w:eastAsia="Times New Roman" w:hAnsi="Times New Roman" w:cs="Times New Roman"/>
          <w:bCs/>
          <w:sz w:val="28"/>
          <w:szCs w:val="28"/>
          <w:lang w:eastAsia="ru-RU"/>
        </w:rPr>
        <w:fldChar w:fldCharType="end"/>
      </w:r>
      <w:r w:rsidRPr="0009764D">
        <w:rPr>
          <w:rFonts w:ascii="Times New Roman" w:eastAsia="Times New Roman" w:hAnsi="Times New Roman" w:cs="Times New Roman"/>
          <w:bCs/>
          <w:sz w:val="28"/>
          <w:szCs w:val="28"/>
          <w:lang w:eastAsia="ru-RU"/>
        </w:rPr>
        <w:t xml:space="preserve"> к Учетной политике.</w:t>
      </w:r>
      <w:bookmarkEnd w:id="10"/>
    </w:p>
    <w:p w14:paraId="34A9AC5E" w14:textId="77777777" w:rsidR="0009764D" w:rsidRPr="0009764D" w:rsidRDefault="0009764D" w:rsidP="0009764D">
      <w:pPr>
        <w:spacing w:after="0" w:line="276" w:lineRule="auto"/>
        <w:ind w:firstLine="851"/>
        <w:jc w:val="both"/>
        <w:outlineLvl w:val="1"/>
        <w:rPr>
          <w:rFonts w:ascii="Times New Roman" w:eastAsia="Times New Roman" w:hAnsi="Times New Roman" w:cs="Times New Roman"/>
          <w:bCs/>
          <w:sz w:val="28"/>
          <w:szCs w:val="28"/>
          <w:lang w:eastAsia="ru-RU"/>
        </w:rPr>
      </w:pPr>
      <w:bookmarkStart w:id="11" w:name="_ref_1-d30bedc990bf4c"/>
      <w:r w:rsidRPr="0009764D">
        <w:rPr>
          <w:rFonts w:ascii="Times New Roman" w:eastAsia="Times New Roman" w:hAnsi="Times New Roman" w:cs="Times New Roman"/>
          <w:bCs/>
          <w:sz w:val="28"/>
          <w:szCs w:val="28"/>
          <w:lang w:eastAsia="ru-RU"/>
        </w:rPr>
        <w:t>Формирование и использование резервов предстоящих расходов осуществляется в соответствии с порядком, приведенным в Приложении № 12 к Учетной политике.</w:t>
      </w:r>
      <w:bookmarkEnd w:id="11"/>
    </w:p>
    <w:p w14:paraId="6D225DCE" w14:textId="23418F8B" w:rsidR="00BA480C" w:rsidRDefault="00BA480C" w:rsidP="00BA480C">
      <w:pPr>
        <w:spacing w:after="0" w:line="276" w:lineRule="auto"/>
        <w:ind w:firstLine="851"/>
        <w:jc w:val="both"/>
        <w:outlineLvl w:val="1"/>
        <w:rPr>
          <w:rFonts w:ascii="Times New Roman" w:eastAsia="Times New Roman" w:hAnsi="Times New Roman" w:cs="Times New Roman"/>
          <w:bCs/>
          <w:sz w:val="28"/>
          <w:szCs w:val="28"/>
          <w:lang w:eastAsia="ru-RU"/>
        </w:rPr>
      </w:pPr>
      <w:r w:rsidRPr="00BA480C">
        <w:rPr>
          <w:rFonts w:ascii="Times New Roman" w:eastAsia="Times New Roman" w:hAnsi="Times New Roman" w:cs="Times New Roman"/>
          <w:bCs/>
          <w:sz w:val="28"/>
          <w:szCs w:val="28"/>
          <w:lang w:eastAsia="ru-RU"/>
        </w:rPr>
        <w:t>Амортизация по всем основным средствам начисляется линейным методом.</w:t>
      </w:r>
    </w:p>
    <w:p w14:paraId="6A8AAEFE" w14:textId="77777777" w:rsidR="0009764D" w:rsidRPr="003625CD" w:rsidRDefault="0009764D" w:rsidP="0009764D">
      <w:pPr>
        <w:ind w:hanging="426"/>
        <w:jc w:val="center"/>
        <w:rPr>
          <w:rFonts w:ascii="Times New Roman" w:eastAsia="Calibri" w:hAnsi="Times New Roman" w:cs="Times New Roman"/>
          <w:sz w:val="24"/>
          <w:szCs w:val="24"/>
        </w:rPr>
      </w:pPr>
    </w:p>
    <w:p w14:paraId="6F020B3B" w14:textId="77777777" w:rsidR="003625CD" w:rsidRPr="003625CD" w:rsidRDefault="003625CD" w:rsidP="003625CD">
      <w:pPr>
        <w:ind w:hanging="426"/>
        <w:rPr>
          <w:rFonts w:ascii="Times New Roman" w:hAnsi="Times New Roman" w:cs="Times New Roman"/>
          <w:b/>
          <w:bCs/>
          <w:sz w:val="28"/>
          <w:szCs w:val="28"/>
        </w:rPr>
      </w:pPr>
    </w:p>
    <w:sectPr w:rsidR="003625CD" w:rsidRPr="00362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36"/>
    <w:rsid w:val="00056012"/>
    <w:rsid w:val="0009764D"/>
    <w:rsid w:val="00150FFB"/>
    <w:rsid w:val="001A2116"/>
    <w:rsid w:val="001D706D"/>
    <w:rsid w:val="00234B92"/>
    <w:rsid w:val="00322A5C"/>
    <w:rsid w:val="003625CD"/>
    <w:rsid w:val="007D7EDB"/>
    <w:rsid w:val="00AD3C36"/>
    <w:rsid w:val="00B06072"/>
    <w:rsid w:val="00BA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5B72"/>
  <w15:chartTrackingRefBased/>
  <w15:docId w15:val="{F821136C-900A-4022-A57E-766E2F1F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5"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4"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2053</Words>
  <Characters>11705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Поныри</dc:creator>
  <cp:keywords/>
  <dc:description/>
  <cp:lastModifiedBy>Бухгалтерия Поныри</cp:lastModifiedBy>
  <cp:revision>3</cp:revision>
  <dcterms:created xsi:type="dcterms:W3CDTF">2023-02-06T07:15:00Z</dcterms:created>
  <dcterms:modified xsi:type="dcterms:W3CDTF">2023-02-06T09:45:00Z</dcterms:modified>
</cp:coreProperties>
</file>