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06A" w:rsidRDefault="0067106A" w:rsidP="00671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Муниципальная программа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Поныровского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</w:t>
      </w:r>
    </w:p>
    <w:p w:rsidR="0067106A" w:rsidRDefault="0067106A" w:rsidP="006710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Поныровском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районе Курской области» </w:t>
      </w:r>
    </w:p>
    <w:p w:rsidR="0067106A" w:rsidRPr="00C4073A" w:rsidRDefault="0067106A" w:rsidP="0067106A">
      <w:pPr>
        <w:pStyle w:val="a4"/>
        <w:spacing w:before="0"/>
        <w:rPr>
          <w:sz w:val="24"/>
          <w:szCs w:val="24"/>
        </w:rPr>
      </w:pPr>
      <w:r w:rsidRPr="00C4073A">
        <w:rPr>
          <w:rFonts w:ascii="Times New Roman" w:hAnsi="Times New Roman" w:cs="Times New Roman"/>
          <w:sz w:val="24"/>
          <w:szCs w:val="24"/>
        </w:rPr>
        <w:t xml:space="preserve">(постановление 530 от 30.09.2014 в редакции Постановлений Администрации </w:t>
      </w:r>
      <w:proofErr w:type="spellStart"/>
      <w:r w:rsidRPr="00C4073A">
        <w:rPr>
          <w:rFonts w:ascii="Times New Roman" w:hAnsi="Times New Roman" w:cs="Times New Roman"/>
          <w:sz w:val="24"/>
          <w:szCs w:val="24"/>
        </w:rPr>
        <w:t>Поныровского</w:t>
      </w:r>
      <w:proofErr w:type="spellEnd"/>
      <w:r w:rsidRPr="00C4073A">
        <w:rPr>
          <w:rFonts w:ascii="Times New Roman" w:hAnsi="Times New Roman" w:cs="Times New Roman"/>
          <w:sz w:val="24"/>
          <w:szCs w:val="24"/>
        </w:rPr>
        <w:t xml:space="preserve"> района Курской области от 20.08.2015 №650; от 26.10.2015 №843;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73A">
        <w:rPr>
          <w:rFonts w:ascii="Times New Roman" w:hAnsi="Times New Roman" w:cs="Times New Roman"/>
          <w:sz w:val="24"/>
          <w:szCs w:val="24"/>
        </w:rPr>
        <w:t>от 29.12.2015 №1003; от 30.12.2016 № 763; от 23.06.2017 № 391; от 29.11.2017 № 760; от 05.02.2018 № 51; от 19.07.2018 №391; от 17.10.2018 №560; от 20.03.2019 № 130, от 15.07.2019 №</w:t>
      </w:r>
      <w:r>
        <w:rPr>
          <w:rFonts w:ascii="Times New Roman" w:hAnsi="Times New Roman" w:cs="Times New Roman"/>
          <w:sz w:val="24"/>
          <w:szCs w:val="24"/>
        </w:rPr>
        <w:t>399; от 27.11.2019 № 659; от 11.03.2020 №120; от 26.06.2020 № 292</w:t>
      </w:r>
      <w:r w:rsidRPr="00C4073A">
        <w:rPr>
          <w:rFonts w:ascii="Times New Roman" w:hAnsi="Times New Roman" w:cs="Times New Roman"/>
          <w:sz w:val="24"/>
          <w:szCs w:val="24"/>
        </w:rPr>
        <w:t>)</w:t>
      </w:r>
    </w:p>
    <w:p w:rsidR="0067106A" w:rsidRDefault="0067106A" w:rsidP="0067106A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7106A" w:rsidRDefault="0067106A" w:rsidP="0067106A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ПАСПОРТ</w:t>
      </w:r>
    </w:p>
    <w:p w:rsidR="0067106A" w:rsidRDefault="0067106A" w:rsidP="0067106A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Поныровского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 Курской области</w:t>
      </w:r>
    </w:p>
    <w:p w:rsidR="0067106A" w:rsidRDefault="0067106A" w:rsidP="0067106A">
      <w:pPr>
        <w:pStyle w:val="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«Развитие культуры в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Поныровском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районе Курской области»</w:t>
      </w:r>
    </w:p>
    <w:p w:rsidR="0067106A" w:rsidRPr="003146DB" w:rsidRDefault="0067106A" w:rsidP="0067106A">
      <w:pPr>
        <w:pStyle w:val="1"/>
        <w:rPr>
          <w:rFonts w:ascii="Times New Roman" w:hAnsi="Times New Roman" w:cs="Times New Roman"/>
          <w:b/>
          <w:bCs/>
        </w:rPr>
      </w:pPr>
    </w:p>
    <w:p w:rsidR="0067106A" w:rsidRPr="003146DB" w:rsidRDefault="0067106A" w:rsidP="0067106A">
      <w:pPr>
        <w:pStyle w:val="1"/>
        <w:jc w:val="center"/>
      </w:pPr>
    </w:p>
    <w:tbl>
      <w:tblPr>
        <w:tblW w:w="9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08"/>
        <w:gridCol w:w="6627"/>
      </w:tblGrid>
      <w:tr w:rsidR="0067106A" w:rsidRPr="004378AA" w:rsidTr="0085369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области.</w:t>
            </w:r>
          </w:p>
        </w:tc>
      </w:tr>
      <w:tr w:rsidR="0067106A" w:rsidRPr="004378AA" w:rsidTr="0085369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7106A" w:rsidRPr="004378AA" w:rsidTr="00853699">
        <w:trPr>
          <w:trHeight w:val="5097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культуры, по делам молодежи, ФК и спорту администрации </w:t>
            </w:r>
            <w:proofErr w:type="spellStart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«Централизованная бухгалтерия учреждений культуры» </w:t>
            </w:r>
            <w:proofErr w:type="spellStart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«</w:t>
            </w:r>
            <w:proofErr w:type="spellStart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Межпоселенческая</w:t>
            </w:r>
            <w:proofErr w:type="spellEnd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 библиотека» </w:t>
            </w:r>
            <w:proofErr w:type="spellStart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«</w:t>
            </w:r>
            <w:proofErr w:type="spellStart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Поныровский</w:t>
            </w:r>
            <w:proofErr w:type="spellEnd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 центр культуры и досуга» </w:t>
            </w:r>
            <w:proofErr w:type="spellStart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образовательное учреждение дополнительного образования детей «</w:t>
            </w:r>
            <w:proofErr w:type="spellStart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Поныровская</w:t>
            </w:r>
            <w:proofErr w:type="spellEnd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 детская школа искусств» </w:t>
            </w:r>
            <w:proofErr w:type="spellStart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Поныровского</w:t>
            </w:r>
            <w:proofErr w:type="spellEnd"/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</w:tr>
      <w:tr w:rsidR="0067106A" w:rsidRPr="004378AA" w:rsidTr="0085369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FA30ED" w:rsidRDefault="0067106A" w:rsidP="0067106A">
            <w:pPr>
              <w:pStyle w:val="8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rStyle w:val="21"/>
                <w:sz w:val="28"/>
                <w:szCs w:val="28"/>
              </w:rPr>
            </w:pPr>
            <w:r>
              <w:rPr>
                <w:rStyle w:val="21"/>
                <w:sz w:val="28"/>
                <w:szCs w:val="28"/>
              </w:rPr>
              <w:t>«Искусство»</w:t>
            </w:r>
          </w:p>
          <w:p w:rsidR="0067106A" w:rsidRPr="00FA30ED" w:rsidRDefault="0067106A" w:rsidP="0067106A">
            <w:pPr>
              <w:pStyle w:val="8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</w:pPr>
            <w:r w:rsidRPr="00FA30ED">
              <w:rPr>
                <w:rStyle w:val="21"/>
                <w:sz w:val="28"/>
                <w:szCs w:val="28"/>
              </w:rPr>
              <w:t>«Наследие»</w:t>
            </w:r>
          </w:p>
          <w:p w:rsidR="0067106A" w:rsidRPr="00FA30ED" w:rsidRDefault="0067106A" w:rsidP="0067106A">
            <w:pPr>
              <w:pStyle w:val="8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FA30ED">
              <w:rPr>
                <w:color w:val="000000"/>
                <w:sz w:val="28"/>
                <w:szCs w:val="28"/>
                <w:shd w:val="clear" w:color="auto" w:fill="FFFFFF"/>
              </w:rPr>
              <w:t xml:space="preserve">«Развитие дополнительного образования в сфере культуры» </w:t>
            </w:r>
          </w:p>
          <w:p w:rsidR="0067106A" w:rsidRPr="00FA30ED" w:rsidRDefault="0067106A" w:rsidP="0067106A">
            <w:pPr>
              <w:pStyle w:val="8"/>
              <w:numPr>
                <w:ilvl w:val="0"/>
                <w:numId w:val="1"/>
              </w:numPr>
              <w:shd w:val="clear" w:color="auto" w:fill="auto"/>
              <w:spacing w:before="0" w:after="0" w:line="240" w:lineRule="auto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Style w:val="21"/>
                <w:sz w:val="28"/>
                <w:szCs w:val="28"/>
              </w:rPr>
              <w:t xml:space="preserve">«Управление </w:t>
            </w:r>
            <w:r w:rsidRPr="00FA30ED">
              <w:rPr>
                <w:rStyle w:val="21"/>
                <w:sz w:val="28"/>
                <w:szCs w:val="28"/>
              </w:rPr>
              <w:t>муниципальной программой и обеспечение условий реализации»</w:t>
            </w:r>
          </w:p>
        </w:tc>
      </w:tr>
      <w:tr w:rsidR="0067106A" w:rsidRPr="004378AA" w:rsidTr="0085369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67106A" w:rsidRPr="004378AA" w:rsidTr="00853699">
        <w:trPr>
          <w:trHeight w:val="966"/>
        </w:trPr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Style w:val="21"/>
                <w:sz w:val="28"/>
                <w:szCs w:val="28"/>
              </w:rPr>
              <w:t>реализация стратегической роли культуры как духовно-нравственного основания развития личности и государственного единства российского общества</w:t>
            </w:r>
          </w:p>
        </w:tc>
      </w:tr>
      <w:tr w:rsidR="0067106A" w:rsidRPr="004378AA" w:rsidTr="0085369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программы 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FA30ED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FA30ED">
              <w:rPr>
                <w:rStyle w:val="21"/>
                <w:sz w:val="28"/>
                <w:szCs w:val="28"/>
              </w:rPr>
              <w:t>сохранение культурного и исторического наследия народа, обеспечение доступа граждан к культурным ценностям;</w:t>
            </w:r>
          </w:p>
          <w:p w:rsidR="0067106A" w:rsidRPr="00FA30ED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FA30ED">
              <w:rPr>
                <w:rStyle w:val="21"/>
                <w:sz w:val="28"/>
                <w:szCs w:val="28"/>
              </w:rPr>
              <w:t>обеспечение доступа граждан к участию в культурной жизни, реализация творческого потенциала населения;</w:t>
            </w:r>
          </w:p>
          <w:p w:rsidR="0067106A" w:rsidRPr="004378AA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4378AA">
              <w:rPr>
                <w:rStyle w:val="21"/>
                <w:sz w:val="28"/>
                <w:szCs w:val="28"/>
              </w:rPr>
              <w:t>создание благоприятных условий для устойчивого развития сферы культуры</w:t>
            </w:r>
          </w:p>
        </w:tc>
      </w:tr>
      <w:tr w:rsidR="0067106A" w:rsidRPr="004378AA" w:rsidTr="0085369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Целевые индикаторы и показатели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FA30ED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FA30ED">
              <w:rPr>
                <w:rStyle w:val="21"/>
                <w:sz w:val="28"/>
                <w:szCs w:val="28"/>
              </w:rPr>
              <w:t>доля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значения, проценты;</w:t>
            </w:r>
          </w:p>
          <w:p w:rsidR="0067106A" w:rsidRPr="00FA30ED" w:rsidRDefault="0067106A" w:rsidP="00853699">
            <w:pPr>
              <w:pStyle w:val="8"/>
              <w:shd w:val="clear" w:color="auto" w:fill="auto"/>
              <w:spacing w:before="0" w:after="0" w:line="240" w:lineRule="auto"/>
            </w:pPr>
            <w:r>
              <w:rPr>
                <w:rStyle w:val="21"/>
                <w:sz w:val="28"/>
                <w:szCs w:val="28"/>
              </w:rPr>
              <w:t>прирост количества культурно-</w:t>
            </w:r>
            <w:r w:rsidRPr="00FA30ED">
              <w:rPr>
                <w:rStyle w:val="21"/>
                <w:sz w:val="28"/>
                <w:szCs w:val="28"/>
              </w:rPr>
              <w:t>просветительских мероприятий, проведенных организациями культуры в образовательных учреждениях, по сравнению с 2012 годом, проценты;</w:t>
            </w:r>
          </w:p>
          <w:p w:rsidR="0067106A" w:rsidRPr="00FA30ED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FA30ED">
              <w:rPr>
                <w:rStyle w:val="21"/>
                <w:sz w:val="28"/>
                <w:szCs w:val="28"/>
              </w:rPr>
              <w:t>удельный вес населения района, у</w:t>
            </w:r>
            <w:r>
              <w:rPr>
                <w:rStyle w:val="21"/>
                <w:sz w:val="28"/>
                <w:szCs w:val="28"/>
              </w:rPr>
              <w:t>частвующего в платных культурно</w:t>
            </w:r>
            <w:r w:rsidRPr="00FA30ED">
              <w:rPr>
                <w:rStyle w:val="21"/>
                <w:sz w:val="28"/>
                <w:szCs w:val="28"/>
              </w:rPr>
              <w:t>-досуговых мероприятиях, проводимых муниципальными учреждениями культуры, проценты;</w:t>
            </w:r>
          </w:p>
          <w:p w:rsidR="0067106A" w:rsidRPr="00FA30ED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C00000"/>
                <w:lang w:eastAsia="en-US"/>
              </w:rPr>
            </w:pPr>
            <w:r w:rsidRPr="00FA30ED">
              <w:rPr>
                <w:rStyle w:val="21"/>
                <w:sz w:val="28"/>
                <w:szCs w:val="28"/>
              </w:rPr>
              <w:t>отношение среднемесячной номинальной начисленной заработной платы работников муниципальных учреждений культуры и искусства к среднемесячной номинальной начисленной заработной плате работников, занятых в сфере экономики в регионе, проценты</w:t>
            </w:r>
          </w:p>
        </w:tc>
      </w:tr>
      <w:tr w:rsidR="0067106A" w:rsidRPr="004378AA" w:rsidTr="0085369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4378AA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78AA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FA30ED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Style w:val="21"/>
                <w:sz w:val="28"/>
                <w:szCs w:val="28"/>
              </w:rPr>
              <w:t>2015 -</w:t>
            </w:r>
            <w:r w:rsidRPr="008B28EF">
              <w:rPr>
                <w:rStyle w:val="21"/>
                <w:color w:val="FF0000"/>
                <w:sz w:val="28"/>
                <w:szCs w:val="28"/>
              </w:rPr>
              <w:t xml:space="preserve"> </w:t>
            </w:r>
            <w:r w:rsidRPr="00954690">
              <w:rPr>
                <w:rStyle w:val="21"/>
                <w:sz w:val="28"/>
                <w:szCs w:val="28"/>
              </w:rPr>
              <w:t>2022</w:t>
            </w:r>
            <w:r w:rsidRPr="00FA30ED">
              <w:rPr>
                <w:rStyle w:val="21"/>
                <w:sz w:val="28"/>
                <w:szCs w:val="28"/>
              </w:rPr>
              <w:t xml:space="preserve"> годы, в один этап</w:t>
            </w:r>
          </w:p>
        </w:tc>
      </w:tr>
      <w:tr w:rsidR="0067106A" w:rsidRPr="004378AA" w:rsidTr="0085369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1D6465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6465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 xml:space="preserve">Объем бюджетных ассигнований на реализацию Программы составляет </w:t>
            </w:r>
            <w:r w:rsidRPr="003F3AEB">
              <w:rPr>
                <w:rStyle w:val="21"/>
                <w:color w:val="FF0000"/>
                <w:sz w:val="28"/>
                <w:szCs w:val="28"/>
              </w:rPr>
              <w:t>267503,557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954690">
              <w:rPr>
                <w:rStyle w:val="21"/>
                <w:sz w:val="28"/>
                <w:szCs w:val="28"/>
              </w:rPr>
              <w:t>тыс. рублей, в том числе по годам реализации: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2015год-   27978,907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2016год-   28299,898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2017год -   28673,409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2018год-    33318,794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2019год-    38110,967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 xml:space="preserve">2020год -  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3F3AEB">
              <w:rPr>
                <w:rStyle w:val="21"/>
                <w:color w:val="FF0000"/>
                <w:sz w:val="28"/>
                <w:szCs w:val="28"/>
              </w:rPr>
              <w:t>37046,192</w:t>
            </w:r>
            <w:r w:rsidRPr="00954690">
              <w:rPr>
                <w:rStyle w:val="21"/>
                <w:sz w:val="28"/>
                <w:szCs w:val="28"/>
              </w:rPr>
              <w:t xml:space="preserve">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2021год -   37037,695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sz w:val="28"/>
                <w:szCs w:val="28"/>
              </w:rPr>
              <w:t xml:space="preserve">2022год -   37037,695 </w:t>
            </w:r>
            <w:r w:rsidRPr="00954690">
              <w:rPr>
                <w:rStyle w:val="21"/>
                <w:sz w:val="28"/>
                <w:szCs w:val="28"/>
              </w:rPr>
              <w:t>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 xml:space="preserve">По подпрограмме «Искусство» объем бюджетных </w:t>
            </w:r>
            <w:r w:rsidRPr="00954690">
              <w:rPr>
                <w:rStyle w:val="21"/>
                <w:sz w:val="28"/>
                <w:szCs w:val="28"/>
              </w:rPr>
              <w:lastRenderedPageBreak/>
              <w:t xml:space="preserve">ассигнований составляет </w:t>
            </w:r>
            <w:r w:rsidRPr="003F3AEB">
              <w:rPr>
                <w:rStyle w:val="21"/>
                <w:color w:val="FF0000"/>
                <w:sz w:val="28"/>
                <w:szCs w:val="28"/>
              </w:rPr>
              <w:t>90110,247</w:t>
            </w:r>
            <w:r w:rsidRPr="00954690">
              <w:rPr>
                <w:rStyle w:val="21"/>
                <w:sz w:val="28"/>
                <w:szCs w:val="28"/>
              </w:rPr>
              <w:t xml:space="preserve"> тыс. рублей, в том числе по годам реализации: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  <w:shd w:val="clear" w:color="auto" w:fill="FFFFFF"/>
              </w:rPr>
            </w:pPr>
            <w:r w:rsidRPr="00954690">
              <w:rPr>
                <w:rStyle w:val="21"/>
                <w:sz w:val="28"/>
                <w:szCs w:val="28"/>
              </w:rPr>
              <w:t>2015год -   10487,647 тыс. рублей;</w:t>
            </w:r>
          </w:p>
          <w:p w:rsidR="0067106A" w:rsidRPr="00954690" w:rsidRDefault="0067106A" w:rsidP="00853699">
            <w:pPr>
              <w:pStyle w:val="a5"/>
            </w:pPr>
            <w:r w:rsidRPr="00954690">
              <w:rPr>
                <w:rStyle w:val="21"/>
                <w:sz w:val="28"/>
                <w:szCs w:val="28"/>
              </w:rPr>
              <w:t>2016год -   10414,693 тыс. рублей;</w:t>
            </w:r>
          </w:p>
          <w:p w:rsidR="0067106A" w:rsidRPr="00954690" w:rsidRDefault="0067106A" w:rsidP="00853699">
            <w:pPr>
              <w:pStyle w:val="a5"/>
            </w:pPr>
            <w:r w:rsidRPr="00954690">
              <w:rPr>
                <w:rStyle w:val="21"/>
                <w:sz w:val="28"/>
                <w:szCs w:val="28"/>
              </w:rPr>
              <w:t>2017год -  9029,247 тыс. рублей;</w:t>
            </w:r>
          </w:p>
          <w:p w:rsidR="0067106A" w:rsidRPr="00954690" w:rsidRDefault="0067106A" w:rsidP="00853699">
            <w:pPr>
              <w:pStyle w:val="a5"/>
            </w:pPr>
            <w:r w:rsidRPr="00954690">
              <w:rPr>
                <w:rStyle w:val="21"/>
                <w:sz w:val="28"/>
                <w:szCs w:val="28"/>
              </w:rPr>
              <w:t>2018год -  10889,159 тыс. рублей;</w:t>
            </w:r>
          </w:p>
          <w:p w:rsidR="0067106A" w:rsidRPr="00954690" w:rsidRDefault="0067106A" w:rsidP="00853699">
            <w:pPr>
              <w:pStyle w:val="a5"/>
            </w:pPr>
            <w:r w:rsidRPr="00954690">
              <w:rPr>
                <w:rStyle w:val="21"/>
                <w:sz w:val="28"/>
                <w:szCs w:val="28"/>
              </w:rPr>
              <w:t>2019год -  12869,103 тыс. рублей;</w:t>
            </w:r>
          </w:p>
          <w:p w:rsidR="0067106A" w:rsidRPr="00954690" w:rsidRDefault="0067106A" w:rsidP="00853699">
            <w:pPr>
              <w:pStyle w:val="a5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 xml:space="preserve">2020год -   </w:t>
            </w:r>
            <w:r w:rsidRPr="00483D93">
              <w:rPr>
                <w:rStyle w:val="21"/>
                <w:color w:val="FF0000"/>
                <w:sz w:val="28"/>
                <w:szCs w:val="28"/>
              </w:rPr>
              <w:t>12449,744</w:t>
            </w:r>
            <w:r w:rsidRPr="00954690">
              <w:rPr>
                <w:rStyle w:val="21"/>
                <w:sz w:val="28"/>
                <w:szCs w:val="28"/>
              </w:rPr>
              <w:t xml:space="preserve"> тыс. рублей.</w:t>
            </w:r>
          </w:p>
          <w:p w:rsidR="0067106A" w:rsidRPr="00954690" w:rsidRDefault="0067106A" w:rsidP="00853699">
            <w:pPr>
              <w:pStyle w:val="a5"/>
            </w:pPr>
            <w:r w:rsidRPr="00954690">
              <w:rPr>
                <w:rStyle w:val="21"/>
                <w:sz w:val="28"/>
                <w:szCs w:val="28"/>
              </w:rPr>
              <w:t>2021год -  11985,327 тыс. рублей</w:t>
            </w:r>
            <w:r w:rsidRPr="00954690">
              <w:t>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sz w:val="28"/>
                <w:szCs w:val="28"/>
              </w:rPr>
              <w:t xml:space="preserve">2022год -   11985,327 </w:t>
            </w:r>
            <w:r w:rsidRPr="00954690">
              <w:rPr>
                <w:rStyle w:val="21"/>
                <w:sz w:val="28"/>
                <w:szCs w:val="28"/>
              </w:rPr>
              <w:t>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По подпрограмме «Наследие» объем бюджетных ассигнований составляет 78867,951 тыс. рублей, в том числе по годам реализации: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  <w:shd w:val="clear" w:color="auto" w:fill="FFFFFF"/>
              </w:rPr>
            </w:pPr>
            <w:r w:rsidRPr="00954690">
              <w:rPr>
                <w:rStyle w:val="21"/>
                <w:sz w:val="28"/>
                <w:szCs w:val="28"/>
              </w:rPr>
              <w:t>2015год- 7714,434тыс.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2016год - 7199,973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  <w:tab w:val="left" w:pos="4545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2017год -   8713,960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  <w:tab w:val="left" w:pos="4545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2018год-   10218,519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2019год-   11286,524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2020год - 11018,443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2021год -   11358,049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sz w:val="28"/>
                <w:szCs w:val="28"/>
              </w:rPr>
              <w:t xml:space="preserve">2022год -   11358,049 </w:t>
            </w:r>
            <w:r w:rsidRPr="00954690">
              <w:rPr>
                <w:rStyle w:val="21"/>
                <w:sz w:val="28"/>
                <w:szCs w:val="28"/>
              </w:rPr>
              <w:t>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По подпрограмме</w:t>
            </w:r>
            <w:r w:rsidRPr="00954690">
              <w:rPr>
                <w:sz w:val="28"/>
                <w:szCs w:val="28"/>
                <w:shd w:val="clear" w:color="auto" w:fill="FFFFFF"/>
              </w:rPr>
              <w:t xml:space="preserve"> «Развитие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954690">
              <w:rPr>
                <w:sz w:val="28"/>
                <w:szCs w:val="28"/>
                <w:shd w:val="clear" w:color="auto" w:fill="FFFFFF"/>
              </w:rPr>
              <w:t>дополнительного образования в сфере культуры»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954690">
              <w:rPr>
                <w:rStyle w:val="21"/>
                <w:sz w:val="28"/>
                <w:szCs w:val="28"/>
              </w:rPr>
              <w:t>объем бюджетных ассигнований составляет 52945,734тыс. руб., в том числе по годам реализации: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</w:pPr>
            <w:r w:rsidRPr="00954690">
              <w:rPr>
                <w:rStyle w:val="21"/>
                <w:sz w:val="28"/>
                <w:szCs w:val="28"/>
              </w:rPr>
              <w:t>2015год -   5488,420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2016год -   6054,226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  <w:tab w:val="left" w:pos="5700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2017год -   5992,583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2018год -   6534,694тыс.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43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2019год-    7258,908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2020год -   7076,535 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tabs>
                <w:tab w:val="left" w:pos="634"/>
              </w:tabs>
              <w:spacing w:before="0" w:after="0" w:line="240" w:lineRule="auto"/>
              <w:rPr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2021год -   7270,184тыс.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sz w:val="28"/>
                <w:szCs w:val="28"/>
              </w:rPr>
              <w:t>2022год -   7270,184</w:t>
            </w:r>
            <w:r w:rsidRPr="00954690">
              <w:rPr>
                <w:rStyle w:val="21"/>
                <w:sz w:val="28"/>
                <w:szCs w:val="28"/>
              </w:rPr>
              <w:t>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По подпрограмме «Управление муниципальной программой и обеспечение условий реализации» объем бюджетных ассигнований составляет45579,625 тыс. руб., в том числе по годам реализации:</w:t>
            </w:r>
          </w:p>
          <w:p w:rsidR="0067106A" w:rsidRPr="00954690" w:rsidRDefault="0067106A" w:rsidP="00853699">
            <w:pPr>
              <w:spacing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2015год -   4288,406 тыс. рублей;</w:t>
            </w:r>
          </w:p>
          <w:p w:rsidR="0067106A" w:rsidRPr="00954690" w:rsidRDefault="0067106A" w:rsidP="00853699">
            <w:pPr>
              <w:spacing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2016год-   4631,006 тыс. рублей;</w:t>
            </w:r>
          </w:p>
          <w:p w:rsidR="0067106A" w:rsidRPr="00954690" w:rsidRDefault="0067106A" w:rsidP="00853699">
            <w:pPr>
              <w:spacing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2017год -   4937,619 тыс. рублей;</w:t>
            </w:r>
          </w:p>
          <w:p w:rsidR="0067106A" w:rsidRPr="00954690" w:rsidRDefault="0067106A" w:rsidP="00853699">
            <w:pPr>
              <w:spacing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2018год -   5676,422 тыс. рублей;</w:t>
            </w:r>
          </w:p>
          <w:p w:rsidR="0067106A" w:rsidRPr="00954690" w:rsidRDefault="0067106A" w:rsidP="00853699">
            <w:pPr>
              <w:spacing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2019год-   6696,432 тыс. рублей;</w:t>
            </w:r>
          </w:p>
          <w:p w:rsidR="0067106A" w:rsidRPr="00954690" w:rsidRDefault="0067106A" w:rsidP="00853699">
            <w:pPr>
              <w:spacing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2020 год - 6501,470тыс. рублей;</w:t>
            </w:r>
          </w:p>
          <w:p w:rsidR="0067106A" w:rsidRPr="00954690" w:rsidRDefault="0067106A" w:rsidP="00853699">
            <w:pPr>
              <w:spacing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rStyle w:val="21"/>
                <w:sz w:val="28"/>
                <w:szCs w:val="28"/>
              </w:rPr>
              <w:t>2021год -   6424,135тыс. рублей;</w:t>
            </w:r>
          </w:p>
          <w:p w:rsidR="0067106A" w:rsidRPr="00954690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954690">
              <w:rPr>
                <w:sz w:val="28"/>
                <w:szCs w:val="28"/>
              </w:rPr>
              <w:t xml:space="preserve">2022год -   6424,135 </w:t>
            </w:r>
            <w:r w:rsidRPr="00954690">
              <w:rPr>
                <w:rStyle w:val="21"/>
                <w:sz w:val="28"/>
                <w:szCs w:val="28"/>
              </w:rPr>
              <w:t>тыс. рублей;</w:t>
            </w:r>
          </w:p>
          <w:p w:rsidR="0067106A" w:rsidRPr="00DF5384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5469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финансового обеспечения на реализацию муниципальной программы подлежит ежегодному уточнению.</w:t>
            </w:r>
          </w:p>
        </w:tc>
      </w:tr>
      <w:tr w:rsidR="0067106A" w:rsidRPr="004378AA" w:rsidTr="00853699"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1D6465" w:rsidRDefault="0067106A" w:rsidP="008536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1D64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результаты реализации муниципальной программы  год</w:t>
            </w:r>
          </w:p>
        </w:tc>
        <w:tc>
          <w:tcPr>
            <w:tcW w:w="6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06A" w:rsidRPr="001D6465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  <w:shd w:val="clear" w:color="auto" w:fill="FFFFFF"/>
              </w:rPr>
            </w:pPr>
            <w:r>
              <w:rPr>
                <w:rStyle w:val="21"/>
                <w:sz w:val="28"/>
                <w:szCs w:val="28"/>
              </w:rPr>
              <w:t>Д</w:t>
            </w:r>
            <w:r w:rsidRPr="001D6465">
              <w:rPr>
                <w:rStyle w:val="21"/>
                <w:sz w:val="28"/>
                <w:szCs w:val="28"/>
              </w:rPr>
              <w:t>оля объектов культурного наследия, находящихся в удовлетворительном состоянии, в общем количестве объектов культурного наследия федерального, регионального и местного значения, проценты;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1D6465">
              <w:rPr>
                <w:rStyle w:val="21"/>
                <w:sz w:val="28"/>
                <w:szCs w:val="28"/>
              </w:rPr>
              <w:t>укрепление единого культурного пространства района;</w:t>
            </w:r>
          </w:p>
          <w:p w:rsidR="0067106A" w:rsidRPr="001D6465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sz w:val="28"/>
                <w:szCs w:val="28"/>
                <w:shd w:val="clear" w:color="auto" w:fill="FFFFFF"/>
              </w:rPr>
            </w:pPr>
            <w:r w:rsidRPr="001D6465">
              <w:rPr>
                <w:rStyle w:val="21"/>
                <w:sz w:val="28"/>
                <w:szCs w:val="28"/>
              </w:rPr>
              <w:t>перевод отрасли на инновационный путь развития, превращение культуры в наиболее современную и привлекательную сферу общественной деятельности; широкое внедрение информационных технологий в сферу культуры;</w:t>
            </w:r>
          </w:p>
          <w:p w:rsidR="0067106A" w:rsidRPr="001D6465" w:rsidRDefault="0067106A" w:rsidP="00853699">
            <w:pPr>
              <w:pStyle w:val="8"/>
              <w:shd w:val="clear" w:color="auto" w:fill="auto"/>
              <w:spacing w:before="0" w:after="0" w:line="240" w:lineRule="auto"/>
              <w:rPr>
                <w:rStyle w:val="21"/>
                <w:sz w:val="28"/>
                <w:szCs w:val="28"/>
              </w:rPr>
            </w:pPr>
            <w:r w:rsidRPr="001D6465">
              <w:rPr>
                <w:rStyle w:val="21"/>
                <w:sz w:val="28"/>
                <w:szCs w:val="28"/>
              </w:rPr>
              <w:t>повышение качества муниципального управления и эффективности расходования бюджетных средств;</w:t>
            </w:r>
          </w:p>
          <w:p w:rsidR="0067106A" w:rsidRPr="001D6465" w:rsidRDefault="0067106A" w:rsidP="00853699">
            <w:pPr>
              <w:pStyle w:val="8"/>
              <w:shd w:val="clear" w:color="auto" w:fill="auto"/>
              <w:spacing w:before="0" w:after="0" w:line="240" w:lineRule="auto"/>
            </w:pPr>
            <w:r w:rsidRPr="001D6465">
              <w:rPr>
                <w:rStyle w:val="21"/>
                <w:sz w:val="28"/>
                <w:szCs w:val="28"/>
              </w:rPr>
              <w:t>выравнивание уровня доступности культурных благ независимо от размера доходов, социального статуса и места проживания;</w:t>
            </w:r>
          </w:p>
          <w:p w:rsidR="0067106A" w:rsidRPr="001D6465" w:rsidRDefault="0067106A" w:rsidP="00853699">
            <w:pPr>
              <w:spacing w:after="0" w:line="240" w:lineRule="auto"/>
              <w:jc w:val="both"/>
              <w:rPr>
                <w:rStyle w:val="21"/>
                <w:sz w:val="28"/>
                <w:szCs w:val="28"/>
              </w:rPr>
            </w:pPr>
            <w:r w:rsidRPr="001D6465">
              <w:rPr>
                <w:rStyle w:val="21"/>
                <w:sz w:val="28"/>
                <w:szCs w:val="28"/>
              </w:rPr>
              <w:t xml:space="preserve">формирование культурной среды, отвечающей растущим потребностям личности и общества, повышение качества, разнообразия и эффективности услуг в сфере культуры; </w:t>
            </w:r>
          </w:p>
          <w:p w:rsidR="0067106A" w:rsidRPr="001D6465" w:rsidRDefault="0067106A" w:rsidP="00853699">
            <w:pPr>
              <w:spacing w:after="0" w:line="240" w:lineRule="auto"/>
              <w:jc w:val="both"/>
              <w:rPr>
                <w:rStyle w:val="21"/>
                <w:sz w:val="28"/>
                <w:szCs w:val="28"/>
              </w:rPr>
            </w:pPr>
            <w:r w:rsidRPr="001D6465">
              <w:rPr>
                <w:rStyle w:val="21"/>
                <w:sz w:val="28"/>
                <w:szCs w:val="28"/>
              </w:rPr>
              <w:t>создание условий для доступности участия всего населения в культурной жизни, а также вовлеченности детей, молодежи, лиц с ограниченными возможностями и ветеранов в активную социокультурную деятельность;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1D6465">
              <w:rPr>
                <w:rStyle w:val="21"/>
                <w:sz w:val="28"/>
                <w:szCs w:val="28"/>
              </w:rPr>
              <w:t xml:space="preserve">создание благоприятных условий для улучшения культурно-досугового обслуживания населения, укрепления материально-технической базы отрасли, развитие самодеятельного художественного творчества; </w:t>
            </w:r>
          </w:p>
          <w:p w:rsidR="0067106A" w:rsidRPr="001D6465" w:rsidRDefault="0067106A" w:rsidP="00853699">
            <w:pPr>
              <w:spacing w:after="0" w:line="240" w:lineRule="auto"/>
              <w:jc w:val="both"/>
              <w:rPr>
                <w:rStyle w:val="21"/>
                <w:sz w:val="28"/>
                <w:szCs w:val="28"/>
              </w:rPr>
            </w:pPr>
            <w:r w:rsidRPr="001D6465">
              <w:rPr>
                <w:rStyle w:val="21"/>
                <w:sz w:val="28"/>
                <w:szCs w:val="28"/>
              </w:rPr>
              <w:t>стимулирование потребления культурных благ;</w:t>
            </w:r>
            <w:r>
              <w:rPr>
                <w:rStyle w:val="21"/>
                <w:sz w:val="28"/>
                <w:szCs w:val="28"/>
              </w:rPr>
              <w:t xml:space="preserve"> </w:t>
            </w:r>
            <w:r w:rsidRPr="001D6465">
              <w:rPr>
                <w:rStyle w:val="21"/>
                <w:sz w:val="28"/>
                <w:szCs w:val="28"/>
              </w:rPr>
              <w:t xml:space="preserve">обеспечение широкого, без каких-либо ограничений, доступа каждого гражданина к национальным и мировым культурным ценностям через формирование публичных электронных </w:t>
            </w:r>
            <w:r>
              <w:rPr>
                <w:rStyle w:val="21"/>
                <w:sz w:val="28"/>
                <w:szCs w:val="28"/>
              </w:rPr>
              <w:t>библиотек и Интернет-ресурсов;</w:t>
            </w:r>
          </w:p>
          <w:p w:rsidR="0067106A" w:rsidRPr="001D6465" w:rsidRDefault="0067106A" w:rsidP="0085369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D6465">
              <w:rPr>
                <w:rStyle w:val="21"/>
                <w:sz w:val="28"/>
                <w:szCs w:val="28"/>
              </w:rPr>
              <w:t xml:space="preserve"> увеличение уровня социального обеспечения работников культуры, финансовой поддержки творческих коллективов, социально значимых проектов.</w:t>
            </w:r>
          </w:p>
        </w:tc>
      </w:tr>
    </w:tbl>
    <w:p w:rsidR="00001EE2" w:rsidRDefault="00001EE2">
      <w:bookmarkStart w:id="0" w:name="_GoBack"/>
      <w:bookmarkEnd w:id="0"/>
    </w:p>
    <w:sectPr w:rsidR="00001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8D42AC"/>
    <w:multiLevelType w:val="hybridMultilevel"/>
    <w:tmpl w:val="6C4638B8"/>
    <w:lvl w:ilvl="0" w:tplc="97808E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025"/>
        </w:tabs>
        <w:ind w:left="2025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85"/>
        </w:tabs>
        <w:ind w:left="4185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45"/>
        </w:tabs>
        <w:ind w:left="6345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8F9"/>
    <w:rsid w:val="00001EE2"/>
    <w:rsid w:val="003F7A80"/>
    <w:rsid w:val="006428F9"/>
    <w:rsid w:val="0067106A"/>
    <w:rsid w:val="00CC39F3"/>
    <w:rsid w:val="00FC3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F5FCE2-13F1-4CF8-82B0-E58E0B9E3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106A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3F7A80"/>
    <w:pPr>
      <w:spacing w:before="100" w:beforeAutospacing="1" w:after="100" w:afterAutospacing="1" w:line="288" w:lineRule="auto"/>
      <w:outlineLvl w:val="1"/>
    </w:pPr>
    <w:rPr>
      <w:rFonts w:ascii="Times New Roman" w:eastAsia="Times New Roman" w:hAnsi="Times New Roman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F7A80"/>
    <w:rPr>
      <w:rFonts w:ascii="Times New Roman" w:eastAsia="Times New Roman" w:hAnsi="Times New Roman"/>
      <w:sz w:val="36"/>
      <w:szCs w:val="36"/>
    </w:rPr>
  </w:style>
  <w:style w:type="paragraph" w:customStyle="1" w:styleId="1">
    <w:name w:val="Без интервала1"/>
    <w:rsid w:val="0067106A"/>
    <w:rPr>
      <w:rFonts w:eastAsia="Times New Roman" w:cs="Calibri"/>
      <w:sz w:val="22"/>
      <w:szCs w:val="22"/>
      <w:lang w:eastAsia="ru-RU"/>
    </w:rPr>
  </w:style>
  <w:style w:type="character" w:customStyle="1" w:styleId="a3">
    <w:name w:val="Основной текст_"/>
    <w:basedOn w:val="a0"/>
    <w:link w:val="8"/>
    <w:locked/>
    <w:rsid w:val="0067106A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8">
    <w:name w:val="Основной текст8"/>
    <w:basedOn w:val="a"/>
    <w:link w:val="a3"/>
    <w:rsid w:val="0067106A"/>
    <w:pPr>
      <w:widowControl w:val="0"/>
      <w:shd w:val="clear" w:color="auto" w:fill="FFFFFF"/>
      <w:spacing w:before="120" w:after="420" w:line="240" w:lineRule="atLeast"/>
      <w:jc w:val="both"/>
    </w:pPr>
    <w:rPr>
      <w:rFonts w:ascii="Times New Roman" w:eastAsia="Calibri" w:hAnsi="Times New Roman" w:cs="Times New Roman"/>
      <w:sz w:val="26"/>
      <w:szCs w:val="26"/>
      <w:lang w:eastAsia="en-US"/>
    </w:rPr>
  </w:style>
  <w:style w:type="paragraph" w:customStyle="1" w:styleId="a4">
    <w:name w:val="Обычный (титульный лист)"/>
    <w:basedOn w:val="a"/>
    <w:rsid w:val="0067106A"/>
    <w:pPr>
      <w:spacing w:before="120" w:after="0" w:line="240" w:lineRule="auto"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21">
    <w:name w:val="Основной текст2"/>
    <w:basedOn w:val="a3"/>
    <w:rsid w:val="0067106A"/>
    <w:rPr>
      <w:rFonts w:ascii="Times New Roman" w:hAnsi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styleId="a5">
    <w:name w:val="No Spacing"/>
    <w:uiPriority w:val="1"/>
    <w:qFormat/>
    <w:rsid w:val="0067106A"/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ConsPlusNormal">
    <w:name w:val="ConsPlusNormal Знак"/>
    <w:link w:val="ConsPlusNormal0"/>
    <w:uiPriority w:val="99"/>
    <w:locked/>
    <w:rsid w:val="0067106A"/>
    <w:rPr>
      <w:rFonts w:ascii="Arial" w:hAnsi="Arial" w:cs="Arial"/>
      <w:sz w:val="22"/>
      <w:szCs w:val="22"/>
    </w:rPr>
  </w:style>
  <w:style w:type="paragraph" w:customStyle="1" w:styleId="ConsPlusNormal0">
    <w:name w:val="ConsPlusNormal"/>
    <w:link w:val="ConsPlusNormal"/>
    <w:uiPriority w:val="99"/>
    <w:rsid w:val="0067106A"/>
    <w:pPr>
      <w:autoSpaceDE w:val="0"/>
      <w:autoSpaceDN w:val="0"/>
      <w:adjustRightInd w:val="0"/>
      <w:ind w:firstLine="720"/>
    </w:pPr>
    <w:rPr>
      <w:rFonts w:ascii="Arial" w:hAnsi="Arial" w:cs="Arial"/>
      <w:sz w:val="22"/>
      <w:szCs w:val="22"/>
    </w:rPr>
  </w:style>
  <w:style w:type="paragraph" w:customStyle="1" w:styleId="ConsPlusCell">
    <w:name w:val="ConsPlusCell"/>
    <w:uiPriority w:val="99"/>
    <w:rsid w:val="0067106A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FC382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a7">
    <w:basedOn w:val="a"/>
    <w:next w:val="a8"/>
    <w:link w:val="a9"/>
    <w:qFormat/>
    <w:rsid w:val="00FC3822"/>
    <w:pPr>
      <w:spacing w:after="0" w:line="240" w:lineRule="auto"/>
      <w:jc w:val="center"/>
    </w:pPr>
    <w:rPr>
      <w:rFonts w:ascii="Calibri" w:eastAsia="Calibri" w:hAnsi="Calibri" w:cs="Calibri"/>
      <w:b/>
      <w:bCs/>
      <w:sz w:val="28"/>
      <w:szCs w:val="28"/>
      <w:lang w:eastAsia="en-US"/>
    </w:rPr>
  </w:style>
  <w:style w:type="character" w:customStyle="1" w:styleId="a9">
    <w:name w:val="Название Знак"/>
    <w:link w:val="a7"/>
    <w:rsid w:val="00FC3822"/>
    <w:rPr>
      <w:rFonts w:ascii="Calibri" w:hAnsi="Calibri" w:cs="Calibri"/>
      <w:b/>
      <w:bCs/>
      <w:sz w:val="28"/>
      <w:szCs w:val="28"/>
    </w:rPr>
  </w:style>
  <w:style w:type="paragraph" w:customStyle="1" w:styleId="Default">
    <w:name w:val="Default"/>
    <w:rsid w:val="00FC3822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styleId="a8">
    <w:name w:val="Title"/>
    <w:basedOn w:val="a"/>
    <w:next w:val="a"/>
    <w:link w:val="aa"/>
    <w:uiPriority w:val="10"/>
    <w:qFormat/>
    <w:rsid w:val="00FC382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FC382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PlusNonformat">
    <w:name w:val="ConsPlusNonformat"/>
    <w:uiPriority w:val="99"/>
    <w:rsid w:val="00FC382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1040</Words>
  <Characters>5932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2020-11-10T13:14:00Z</dcterms:created>
  <dcterms:modified xsi:type="dcterms:W3CDTF">2020-11-10T13:20:00Z</dcterms:modified>
</cp:coreProperties>
</file>