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DB8" w:rsidRPr="00811DB8" w:rsidRDefault="00811DB8" w:rsidP="00811DB8">
      <w:pPr>
        <w:keepNext/>
        <w:keepLines/>
        <w:spacing w:before="120" w:after="120" w:line="240" w:lineRule="auto"/>
        <w:ind w:left="-567"/>
        <w:jc w:val="center"/>
        <w:outlineLvl w:val="0"/>
        <w:rPr>
          <w:rFonts w:eastAsia="Times New Roman"/>
          <w:b/>
          <w:caps/>
          <w:lang w:eastAsia="ru-RU"/>
        </w:rPr>
      </w:pPr>
      <w:bookmarkStart w:id="0" w:name="_GoBack"/>
      <w:r w:rsidRPr="00811DB8">
        <w:rPr>
          <w:rFonts w:eastAsia="Times New Roman"/>
          <w:b/>
          <w:caps/>
          <w:lang w:eastAsia="ru-RU"/>
        </w:rPr>
        <w:t xml:space="preserve">III. ПРАВИЛА И ОБЛАСТЬ ПРИМЕНЕНИЯ </w:t>
      </w:r>
      <w:bookmarkEnd w:id="0"/>
      <w:r w:rsidRPr="00811DB8">
        <w:rPr>
          <w:rFonts w:eastAsia="Times New Roman"/>
          <w:b/>
          <w:caps/>
          <w:lang w:eastAsia="ru-RU"/>
        </w:rPr>
        <w:t>РАСЧеТНЫХ ПОКАЗАТЕЛЕЙ, СОДЕРЖАЩИХСЯ В ОСНОВНОЙ ЧАСТИМЕСТНЫХ НОРМАТИВОВ ГРАДОСТРОИТЕЛЬНОГО ПРОЕКТИРОВАНИЯ «Верхне-Смородинский сельсовет» Поныровского района КУРСКОЙ ОБЛАСТИ</w:t>
      </w:r>
    </w:p>
    <w:p w:rsidR="00811DB8" w:rsidRPr="00811DB8" w:rsidRDefault="00811DB8" w:rsidP="00811DB8">
      <w:pPr>
        <w:autoSpaceDE w:val="0"/>
        <w:spacing w:after="0" w:line="276" w:lineRule="auto"/>
        <w:ind w:left="-567"/>
        <w:jc w:val="both"/>
        <w:rPr>
          <w:rFonts w:eastAsia="Times New Roman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МНГП распространяются на предлагаемые к размещению на территории муниципального образования «Верхне-</w:t>
      </w:r>
      <w:proofErr w:type="spellStart"/>
      <w:r w:rsidRPr="00811DB8">
        <w:rPr>
          <w:rFonts w:eastAsia="Times New Roman"/>
          <w:lang w:eastAsia="ru-RU"/>
        </w:rPr>
        <w:t>Смородинский</w:t>
      </w:r>
      <w:proofErr w:type="spellEnd"/>
      <w:r w:rsidRPr="00811DB8">
        <w:rPr>
          <w:rFonts w:eastAsia="Times New Roman"/>
          <w:lang w:eastAsia="ru-RU"/>
        </w:rPr>
        <w:t xml:space="preserve"> сельсовет» </w:t>
      </w:r>
      <w:proofErr w:type="spellStart"/>
      <w:r w:rsidRPr="00811DB8">
        <w:rPr>
          <w:rFonts w:eastAsia="Times New Roman"/>
          <w:lang w:eastAsia="ru-RU"/>
        </w:rPr>
        <w:t>Поныровского</w:t>
      </w:r>
      <w:proofErr w:type="spellEnd"/>
      <w:r w:rsidRPr="00811DB8">
        <w:rPr>
          <w:rFonts w:eastAsia="Times New Roman"/>
          <w:lang w:eastAsia="ru-RU"/>
        </w:rPr>
        <w:t xml:space="preserve"> района Курской области объекты местного значения, относящиеся к областям, указанным в </w:t>
      </w:r>
      <w:hyperlink r:id="rId4" w:anchor="dst101686" w:history="1">
        <w:r w:rsidRPr="00811DB8">
          <w:rPr>
            <w:rFonts w:eastAsia="Times New Roman"/>
            <w:color w:val="0000FF"/>
            <w:u w:val="single"/>
            <w:lang w:eastAsia="ru-RU"/>
          </w:rPr>
          <w:t xml:space="preserve">статье </w:t>
        </w:r>
      </w:hyperlink>
      <w:r w:rsidRPr="00811DB8">
        <w:rPr>
          <w:rFonts w:eastAsia="Times New Roman"/>
          <w:color w:val="0000FF"/>
          <w:u w:val="single"/>
          <w:lang w:eastAsia="ru-RU"/>
        </w:rPr>
        <w:t>23</w:t>
      </w:r>
      <w:r w:rsidRPr="00811DB8">
        <w:rPr>
          <w:rFonts w:eastAsia="Times New Roman"/>
          <w:lang w:eastAsia="ru-RU"/>
        </w:rPr>
        <w:t> Градостроительного кодекса Российской Федерации.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 New Roman"/>
          <w:lang w:eastAsia="ru-RU"/>
        </w:rPr>
        <w:t>МНГП</w:t>
      </w:r>
      <w:r w:rsidRPr="00811DB8">
        <w:rPr>
          <w:rFonts w:eastAsia="TimesNewRomanPSMT"/>
          <w:lang w:eastAsia="ru-RU"/>
        </w:rPr>
        <w:t xml:space="preserve"> применяются при: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 xml:space="preserve">1) подготовке документов территориального планирования муниципального образования </w:t>
      </w:r>
      <w:r w:rsidRPr="00811DB8">
        <w:rPr>
          <w:rFonts w:eastAsia="Times New Roman"/>
          <w:lang w:eastAsia="ru-RU"/>
        </w:rPr>
        <w:t>«Верхне-</w:t>
      </w:r>
      <w:proofErr w:type="spellStart"/>
      <w:r w:rsidRPr="00811DB8">
        <w:rPr>
          <w:rFonts w:eastAsia="Times New Roman"/>
          <w:lang w:eastAsia="ru-RU"/>
        </w:rPr>
        <w:t>Смородинский</w:t>
      </w:r>
      <w:proofErr w:type="spellEnd"/>
      <w:r w:rsidRPr="00811DB8">
        <w:rPr>
          <w:rFonts w:eastAsia="Times New Roman"/>
          <w:lang w:eastAsia="ru-RU"/>
        </w:rPr>
        <w:t xml:space="preserve"> сельсовет» </w:t>
      </w:r>
      <w:proofErr w:type="spellStart"/>
      <w:r w:rsidRPr="00811DB8">
        <w:rPr>
          <w:rFonts w:eastAsia="Times New Roman"/>
          <w:lang w:eastAsia="ru-RU"/>
        </w:rPr>
        <w:t>Поныровского</w:t>
      </w:r>
      <w:proofErr w:type="spellEnd"/>
      <w:r w:rsidRPr="00811DB8">
        <w:rPr>
          <w:rFonts w:eastAsia="Times New Roman"/>
          <w:lang w:eastAsia="ru-RU"/>
        </w:rPr>
        <w:t xml:space="preserve"> района </w:t>
      </w:r>
      <w:r w:rsidRPr="00811DB8">
        <w:rPr>
          <w:rFonts w:eastAsia="TimesNewRomanPSMT"/>
          <w:lang w:eastAsia="ru-RU"/>
        </w:rPr>
        <w:t>Курской области: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в части определения территорий, имеющих недостаточную обеспеченность нормируемыми объектами;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в части планируемого размещения и реконструкции объектов местного значения по областям;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в части определения параметров планируемого развития транспортной и инженерной инфраструктуры (объектов местного значения) для обеспечения нормативной доступности территорий для нормируемых объектов;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811DB8">
        <w:rPr>
          <w:rFonts w:eastAsia="TimesNewRomanPSMT"/>
          <w:lang w:eastAsia="ru-RU"/>
        </w:rPr>
        <w:t>2)принятии</w:t>
      </w:r>
      <w:proofErr w:type="gramEnd"/>
      <w:r w:rsidRPr="00811DB8">
        <w:rPr>
          <w:rFonts w:eastAsia="TimesNewRomanPSMT"/>
          <w:lang w:eastAsia="ru-RU"/>
        </w:rPr>
        <w:t xml:space="preserve"> решений о резервировании земель для государственных нужд в целях строительства и реконструкции объектов местного значения (объектов, связанных с обеспечением доступа нормируемых объектов по автомобильным дорогам местного значения);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3) подготовке проектов планировки территории и проектов межевания территории, в том числе для размещения объектов местного значения в соответствии с документами территориального планирования.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 New Roman"/>
          <w:lang w:eastAsia="ru-RU"/>
        </w:rPr>
        <w:t>МНГП</w:t>
      </w:r>
      <w:r w:rsidRPr="00811DB8">
        <w:rPr>
          <w:rFonts w:eastAsia="TimesNewRomanPSMT"/>
          <w:lang w:eastAsia="ru-RU"/>
        </w:rPr>
        <w:t xml:space="preserve"> учитываются при: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1) подготовке документов территориального планирования муниципальных образований Курской области: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в части планируемого функционального зонирования территории;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в части создания и реконструкции объектов местного значения муниципального образования, связанных с обеспечением функционирования объектов регионального значения (транспортная инфраструктура, инженерная инфраструктура, в том числе – системы водоснабжения, водоотведения, теплоснабжения);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proofErr w:type="gramStart"/>
      <w:r w:rsidRPr="00811DB8">
        <w:rPr>
          <w:rFonts w:eastAsia="TimesNewRomanPSMT"/>
          <w:lang w:eastAsia="ru-RU"/>
        </w:rPr>
        <w:t>2)подготовке</w:t>
      </w:r>
      <w:proofErr w:type="gramEnd"/>
      <w:r w:rsidRPr="00811DB8">
        <w:rPr>
          <w:rFonts w:eastAsia="TimesNewRomanPSMT"/>
          <w:lang w:eastAsia="ru-RU"/>
        </w:rPr>
        <w:t xml:space="preserve"> правил землепользования и застройки территорий муниципальных образований: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в части установления границ территориальных зон, предназначенных для размещения и функционирования объектов регионального значения;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 xml:space="preserve">в части установления градостроительных регламентов применительно к территориальным зонам, в границах которых размещаются участки объектов регионального значения (предельные размеры земельных участков, в том числе </w:t>
      </w:r>
      <w:r w:rsidRPr="00811DB8">
        <w:rPr>
          <w:rFonts w:eastAsia="TimesNewRomanPSMT"/>
          <w:lang w:eastAsia="ru-RU"/>
        </w:rPr>
        <w:lastRenderedPageBreak/>
        <w:t xml:space="preserve">их площадь;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предельное количество этажей или предельную высоту зданий, строений, сооружений;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участка). 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 New Roman"/>
          <w:lang w:eastAsia="ru-RU"/>
        </w:rPr>
        <w:t>МНГП</w:t>
      </w:r>
      <w:r w:rsidRPr="00811DB8">
        <w:rPr>
          <w:rFonts w:eastAsia="TimesNewRomanPSMT"/>
          <w:lang w:eastAsia="ru-RU"/>
        </w:rPr>
        <w:t xml:space="preserve"> используются для принятия решений органами местного </w:t>
      </w:r>
      <w:proofErr w:type="gramStart"/>
      <w:r w:rsidRPr="00811DB8">
        <w:rPr>
          <w:rFonts w:eastAsia="TimesNewRomanPSMT"/>
          <w:lang w:eastAsia="ru-RU"/>
        </w:rPr>
        <w:t>самоуправления,  физическими</w:t>
      </w:r>
      <w:proofErr w:type="gramEnd"/>
      <w:r w:rsidRPr="00811DB8">
        <w:rPr>
          <w:rFonts w:eastAsia="TimesNewRomanPSMT"/>
          <w:lang w:eastAsia="ru-RU"/>
        </w:rPr>
        <w:t xml:space="preserve"> и юридическими лицами.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NewRomanPSMT"/>
          <w:lang w:eastAsia="ru-RU"/>
        </w:rPr>
        <w:t>При отмене и (или) изменении нормативных правовых актов, на которые дается ссылка в МНГП, следует руководствоваться нормативными правовыми актами, вводимыми взамен отмененных (измененных).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  <w:r w:rsidRPr="00811DB8">
        <w:rPr>
          <w:rFonts w:eastAsia="Times New Roman"/>
          <w:lang w:eastAsia="ru-RU"/>
        </w:rPr>
        <w:t>МНГП</w:t>
      </w:r>
      <w:r w:rsidRPr="00811DB8">
        <w:rPr>
          <w:rFonts w:eastAsia="TimesNewRomanPSMT"/>
          <w:lang w:eastAsia="ru-RU"/>
        </w:rPr>
        <w:t xml:space="preserve"> обязательны для соблюдения всеми субъектами, осуществляющими градостроительную деятельность на территории Курской области, независимо от их организационно-правовой формы.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NewRomanPSMT"/>
          <w:lang w:eastAsia="ru-RU"/>
        </w:rPr>
        <w:sectPr w:rsidR="00811DB8" w:rsidRPr="00811DB8" w:rsidSect="00664BFA">
          <w:headerReference w:type="default" r:id="rId5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11DB8" w:rsidRPr="00811DB8" w:rsidRDefault="00811DB8" w:rsidP="00811DB8">
      <w:pPr>
        <w:keepNext/>
        <w:spacing w:after="0" w:line="240" w:lineRule="auto"/>
        <w:ind w:left="3681" w:firstLine="1275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lastRenderedPageBreak/>
        <w:t xml:space="preserve">Приложение  </w:t>
      </w:r>
    </w:p>
    <w:p w:rsidR="00811DB8" w:rsidRPr="00811DB8" w:rsidRDefault="00811DB8" w:rsidP="00811DB8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 xml:space="preserve">к местным нормативам градостроительного </w:t>
      </w:r>
    </w:p>
    <w:p w:rsidR="00811DB8" w:rsidRPr="00811DB8" w:rsidRDefault="00811DB8" w:rsidP="00811DB8">
      <w:pPr>
        <w:keepNext/>
        <w:spacing w:after="0" w:line="240" w:lineRule="auto"/>
        <w:ind w:left="-567"/>
        <w:jc w:val="right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проектирования Курской области</w:t>
      </w:r>
    </w:p>
    <w:p w:rsidR="00811DB8" w:rsidRPr="00811DB8" w:rsidRDefault="00811DB8" w:rsidP="00811DB8">
      <w:pPr>
        <w:keepNext/>
        <w:spacing w:after="0" w:line="240" w:lineRule="auto"/>
        <w:ind w:left="-567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811DB8" w:rsidRPr="00811DB8" w:rsidRDefault="00811DB8" w:rsidP="00811DB8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811DB8" w:rsidRPr="00811DB8" w:rsidRDefault="00811DB8" w:rsidP="00811DB8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811DB8">
        <w:rPr>
          <w:rFonts w:eastAsia="Times New Roman"/>
          <w:b/>
          <w:lang w:eastAsia="ru-RU"/>
        </w:rPr>
        <w:t>ПЕРЕЧЕНЬ</w:t>
      </w:r>
    </w:p>
    <w:p w:rsidR="00811DB8" w:rsidRPr="00811DB8" w:rsidRDefault="00811DB8" w:rsidP="00811DB8">
      <w:pPr>
        <w:spacing w:after="0" w:line="240" w:lineRule="auto"/>
        <w:ind w:left="-567"/>
        <w:jc w:val="center"/>
        <w:rPr>
          <w:rFonts w:eastAsia="Times New Roman"/>
          <w:b/>
          <w:lang w:eastAsia="ru-RU"/>
        </w:rPr>
      </w:pPr>
      <w:r w:rsidRPr="00811DB8">
        <w:rPr>
          <w:rFonts w:eastAsia="Times New Roman"/>
          <w:b/>
          <w:lang w:eastAsia="ru-RU"/>
        </w:rPr>
        <w:t>используемых терминов и определений</w:t>
      </w:r>
    </w:p>
    <w:p w:rsidR="00811DB8" w:rsidRPr="00811DB8" w:rsidRDefault="00811DB8" w:rsidP="00811DB8">
      <w:pPr>
        <w:spacing w:after="0" w:line="240" w:lineRule="auto"/>
        <w:ind w:left="-567" w:firstLine="709"/>
        <w:jc w:val="center"/>
        <w:rPr>
          <w:rFonts w:eastAsia="Times New Roman"/>
          <w:b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/>
        <w:jc w:val="both"/>
        <w:rPr>
          <w:rFonts w:eastAsia="Times New Roman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1. Агломерация – территориальная группировка поселений (главным образом городских), объединенных многообразными и интенсивными связями (транспортными, социально-экономическими), возникающими на основе функционального и про</w:t>
      </w:r>
      <w:r w:rsidRPr="00811DB8">
        <w:rPr>
          <w:rFonts w:eastAsia="Times New Roman"/>
          <w:lang w:eastAsia="ru-RU"/>
        </w:rPr>
        <w:softHyphen/>
        <w:t>странственного развития крупного города-ядра.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2. Внутренняя территориально-пространственная организация – понятие, описывающее пространственные, транспортные, социально-экономические связи в пределах одного/или группы муниципальных образований.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3. Территориально-пространственное положение – понятие, определяемое пространственное положение муниципального образования относительно ядра городской агломераций Курской области.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4. Уровень урбанизации– оценочный показатель,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jc w:val="both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 xml:space="preserve">5. Метод экспертной оценки – оценочный способ определения, основанный на профессиональном опыте разработчика в области градостроительного проектирования и территориального планирования, с учетом сложившейся функционально-пространственной и планировочной структуры субъекта Российской Федерации. </w:t>
      </w:r>
    </w:p>
    <w:p w:rsidR="00811DB8" w:rsidRPr="00811DB8" w:rsidRDefault="00811DB8" w:rsidP="00811DB8">
      <w:pPr>
        <w:autoSpaceDE w:val="0"/>
        <w:spacing w:after="0" w:line="240" w:lineRule="auto"/>
        <w:ind w:left="-567" w:firstLine="709"/>
        <w:rPr>
          <w:rFonts w:eastAsia="Times New Roman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ind w:firstLine="709"/>
        <w:jc w:val="both"/>
        <w:rPr>
          <w:rFonts w:eastAsia="Times New Roman"/>
          <w:lang w:eastAsia="ru-RU"/>
        </w:rPr>
        <w:sectPr w:rsidR="00811DB8" w:rsidRPr="00811DB8" w:rsidSect="0010196E">
          <w:headerReference w:type="first" r:id="rId6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1DB8" w:rsidRPr="00811DB8" w:rsidRDefault="00811DB8" w:rsidP="00811DB8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lastRenderedPageBreak/>
        <w:t xml:space="preserve">Приложение  </w:t>
      </w:r>
    </w:p>
    <w:p w:rsidR="00811DB8" w:rsidRPr="00811DB8" w:rsidRDefault="00811DB8" w:rsidP="00811DB8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811DB8" w:rsidRPr="00811DB8" w:rsidRDefault="00811DB8" w:rsidP="00811DB8">
      <w:pPr>
        <w:keepNext/>
        <w:spacing w:after="0" w:line="240" w:lineRule="auto"/>
        <w:jc w:val="right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ind w:left="720"/>
        <w:jc w:val="center"/>
        <w:rPr>
          <w:rFonts w:eastAsia="Times New Roman"/>
          <w:b/>
          <w:bCs/>
          <w:lang w:eastAsia="ru-RU"/>
        </w:rPr>
      </w:pPr>
      <w:r w:rsidRPr="00811DB8">
        <w:rPr>
          <w:rFonts w:eastAsia="Times New Roman"/>
          <w:b/>
          <w:bCs/>
          <w:lang w:eastAsia="ru-RU"/>
        </w:rPr>
        <w:t>ПЕРЕЧЕНЬ</w:t>
      </w:r>
    </w:p>
    <w:p w:rsidR="00811DB8" w:rsidRPr="00811DB8" w:rsidRDefault="00811DB8" w:rsidP="00811DB8">
      <w:pPr>
        <w:autoSpaceDE w:val="0"/>
        <w:spacing w:after="0" w:line="276" w:lineRule="auto"/>
        <w:ind w:left="720"/>
        <w:jc w:val="center"/>
        <w:rPr>
          <w:rFonts w:eastAsia="Times New Roman"/>
          <w:b/>
          <w:lang w:eastAsia="ru-RU"/>
        </w:rPr>
      </w:pPr>
      <w:r w:rsidRPr="00811DB8">
        <w:rPr>
          <w:rFonts w:eastAsia="Times New Roman"/>
          <w:b/>
          <w:bCs/>
          <w:lang w:eastAsia="ru-RU"/>
        </w:rPr>
        <w:t>нормируемых объектов местного значения</w:t>
      </w:r>
    </w:p>
    <w:p w:rsidR="00811DB8" w:rsidRPr="00811DB8" w:rsidRDefault="00811DB8" w:rsidP="00811DB8">
      <w:pPr>
        <w:autoSpaceDE w:val="0"/>
        <w:spacing w:after="0" w:line="276" w:lineRule="auto"/>
        <w:ind w:left="720"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5"/>
      </w:tblGrid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11DB8">
              <w:rPr>
                <w:rFonts w:eastAsia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b/>
                <w:sz w:val="24"/>
                <w:szCs w:val="24"/>
                <w:lang w:eastAsia="ru-RU"/>
              </w:rPr>
              <w:t>Наименование нормируемых объектов местного значения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электроснабжения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Комплекс сооружений теплоснабжения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водоснабжения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Комплекс сооружений водоотведения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Улично-дорожная сеть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Остановочный пункт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Кладбище традиционного захоронения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Специализированная служба по вопросам похоронного дела</w:t>
            </w:r>
          </w:p>
        </w:tc>
      </w:tr>
      <w:tr w:rsidR="00811DB8" w:rsidRPr="00811DB8" w:rsidTr="007E4F7A">
        <w:tc>
          <w:tcPr>
            <w:tcW w:w="838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5" w:type="dxa"/>
            <w:vAlign w:val="center"/>
          </w:tcPr>
          <w:p w:rsidR="00811DB8" w:rsidRPr="00811DB8" w:rsidRDefault="00811DB8" w:rsidP="00811DB8">
            <w:pPr>
              <w:autoSpaceDE w:val="0"/>
              <w:spacing w:after="0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1DB8">
              <w:rPr>
                <w:rFonts w:eastAsia="Times New Roman"/>
                <w:sz w:val="24"/>
                <w:szCs w:val="24"/>
                <w:lang w:eastAsia="ru-RU"/>
              </w:rPr>
              <w:t>Аптеки</w:t>
            </w:r>
          </w:p>
        </w:tc>
      </w:tr>
    </w:tbl>
    <w:p w:rsidR="00811DB8" w:rsidRPr="00811DB8" w:rsidRDefault="00811DB8" w:rsidP="00811DB8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rPr>
          <w:rFonts w:eastAsia="Times New Roman"/>
          <w:sz w:val="24"/>
          <w:szCs w:val="24"/>
          <w:lang w:eastAsia="ru-RU"/>
        </w:rPr>
        <w:sectPr w:rsidR="00811DB8" w:rsidRPr="00811DB8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1DB8" w:rsidRPr="00811DB8" w:rsidRDefault="00811DB8" w:rsidP="00811DB8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lastRenderedPageBreak/>
        <w:t xml:space="preserve">Приложение   </w:t>
      </w:r>
    </w:p>
    <w:p w:rsidR="00811DB8" w:rsidRPr="00811DB8" w:rsidRDefault="00811DB8" w:rsidP="00811DB8">
      <w:pPr>
        <w:keepNext/>
        <w:spacing w:after="0" w:line="240" w:lineRule="auto"/>
        <w:ind w:left="4962"/>
        <w:jc w:val="center"/>
        <w:outlineLvl w:val="2"/>
        <w:rPr>
          <w:rFonts w:eastAsia="Times New Roman"/>
          <w:lang w:eastAsia="ru-RU"/>
        </w:rPr>
      </w:pPr>
      <w:r w:rsidRPr="00811DB8">
        <w:rPr>
          <w:rFonts w:eastAsia="Times New Roman"/>
          <w:lang w:eastAsia="ru-RU"/>
        </w:rPr>
        <w:t>к местным нормативам градостроительного проектирования Курской области</w:t>
      </w:r>
    </w:p>
    <w:p w:rsidR="00811DB8" w:rsidRPr="00811DB8" w:rsidRDefault="00811DB8" w:rsidP="00811DB8">
      <w:pPr>
        <w:autoSpaceDE w:val="0"/>
        <w:spacing w:after="0" w:line="276" w:lineRule="auto"/>
        <w:rPr>
          <w:rFonts w:eastAsia="TimesNewRomanPSMT"/>
          <w:sz w:val="24"/>
          <w:szCs w:val="24"/>
          <w:lang w:eastAsia="ru-RU"/>
        </w:rPr>
      </w:pPr>
    </w:p>
    <w:p w:rsidR="00811DB8" w:rsidRPr="00811DB8" w:rsidRDefault="00811DB8" w:rsidP="00811DB8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811DB8">
        <w:rPr>
          <w:rFonts w:eastAsia="TimesNewRomanPSMT"/>
          <w:b/>
          <w:bCs/>
          <w:lang w:eastAsia="ru-RU"/>
        </w:rPr>
        <w:t xml:space="preserve">Расчетные показатели минимально допустимого количества </w:t>
      </w:r>
    </w:p>
    <w:p w:rsidR="00811DB8" w:rsidRPr="00811DB8" w:rsidRDefault="00811DB8" w:rsidP="00811DB8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proofErr w:type="spellStart"/>
      <w:r w:rsidRPr="00811DB8">
        <w:rPr>
          <w:rFonts w:eastAsia="TimesNewRomanPSMT"/>
          <w:b/>
          <w:bCs/>
          <w:lang w:eastAsia="ru-RU"/>
        </w:rPr>
        <w:t>машино</w:t>
      </w:r>
      <w:proofErr w:type="spellEnd"/>
      <w:r w:rsidRPr="00811DB8">
        <w:rPr>
          <w:rFonts w:eastAsia="TimesNewRomanPSMT"/>
          <w:b/>
          <w:bCs/>
          <w:lang w:eastAsia="ru-RU"/>
        </w:rPr>
        <w:t xml:space="preserve">-мест для парковки легковых автомобилей на стоянках </w:t>
      </w:r>
    </w:p>
    <w:p w:rsidR="00811DB8" w:rsidRPr="00811DB8" w:rsidRDefault="00811DB8" w:rsidP="00811DB8">
      <w:pPr>
        <w:autoSpaceDE w:val="0"/>
        <w:spacing w:after="0" w:line="240" w:lineRule="auto"/>
        <w:jc w:val="center"/>
        <w:rPr>
          <w:rFonts w:eastAsia="TimesNewRomanPSMT"/>
          <w:b/>
          <w:bCs/>
          <w:lang w:eastAsia="ru-RU"/>
        </w:rPr>
      </w:pPr>
      <w:r w:rsidRPr="00811DB8">
        <w:rPr>
          <w:rFonts w:eastAsia="TimesNewRomanPSMT"/>
          <w:b/>
          <w:bCs/>
          <w:lang w:eastAsia="ru-RU"/>
        </w:rPr>
        <w:t>к объектам местного значения</w:t>
      </w:r>
    </w:p>
    <w:p w:rsidR="00811DB8" w:rsidRPr="00811DB8" w:rsidRDefault="00811DB8" w:rsidP="00811DB8">
      <w:pPr>
        <w:autoSpaceDE w:val="0"/>
        <w:spacing w:after="0" w:line="276" w:lineRule="auto"/>
        <w:jc w:val="center"/>
        <w:rPr>
          <w:rFonts w:eastAsia="TimesNewRomanPSMT"/>
          <w:b/>
          <w:bCs/>
          <w:sz w:val="24"/>
          <w:szCs w:val="24"/>
          <w:lang w:eastAsia="ru-RU"/>
        </w:rPr>
      </w:pPr>
    </w:p>
    <w:tbl>
      <w:tblPr>
        <w:tblW w:w="503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191"/>
        <w:gridCol w:w="1664"/>
        <w:gridCol w:w="1228"/>
        <w:gridCol w:w="1381"/>
        <w:gridCol w:w="1284"/>
      </w:tblGrid>
      <w:tr w:rsidR="00811DB8" w:rsidRPr="00811DB8" w:rsidTr="007E4F7A">
        <w:trPr>
          <w:cantSplit/>
          <w:trHeight w:val="342"/>
          <w:jc w:val="center"/>
        </w:trPr>
        <w:tc>
          <w:tcPr>
            <w:tcW w:w="211" w:type="pct"/>
            <w:vMerge w:val="restart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Минимально допустимый уровень обеспеченности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Максимально</w:t>
            </w:r>
          </w:p>
          <w:p w:rsidR="00811DB8" w:rsidRPr="00811DB8" w:rsidRDefault="00811DB8" w:rsidP="00811DB8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допустимый уровень </w:t>
            </w:r>
          </w:p>
          <w:p w:rsidR="00811DB8" w:rsidRPr="00811DB8" w:rsidRDefault="00811DB8" w:rsidP="00811DB8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территориальной </w:t>
            </w:r>
          </w:p>
          <w:p w:rsidR="00811DB8" w:rsidRPr="00811DB8" w:rsidRDefault="00811DB8" w:rsidP="00811DB8">
            <w:pPr>
              <w:spacing w:after="0" w:line="240" w:lineRule="auto"/>
              <w:ind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доступности</w:t>
            </w:r>
          </w:p>
        </w:tc>
      </w:tr>
      <w:tr w:rsidR="00811DB8" w:rsidRPr="00811DB8" w:rsidTr="007E4F7A">
        <w:trPr>
          <w:cantSplit/>
          <w:trHeight w:val="342"/>
          <w:jc w:val="center"/>
        </w:trPr>
        <w:tc>
          <w:tcPr>
            <w:tcW w:w="211" w:type="pct"/>
            <w:vMerge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vMerge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672" w:type="pct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  <w:tc>
          <w:tcPr>
            <w:tcW w:w="756" w:type="pct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Единица</w:t>
            </w:r>
          </w:p>
          <w:p w:rsidR="00811DB8" w:rsidRPr="00811DB8" w:rsidRDefault="00811DB8" w:rsidP="00811DB8">
            <w:pPr>
              <w:spacing w:after="0" w:line="240" w:lineRule="auto"/>
              <w:ind w:left="136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измерения</w:t>
            </w:r>
          </w:p>
        </w:tc>
        <w:tc>
          <w:tcPr>
            <w:tcW w:w="703" w:type="pct"/>
            <w:shd w:val="clear" w:color="auto" w:fill="FFFFFF"/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107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Величина</w:t>
            </w:r>
          </w:p>
        </w:tc>
      </w:tr>
      <w:tr w:rsidR="00811DB8" w:rsidRPr="00811DB8" w:rsidTr="007E4F7A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11DB8" w:rsidRPr="00811DB8" w:rsidTr="007E4F7A">
        <w:trPr>
          <w:cantSplit/>
          <w:trHeight w:val="480"/>
          <w:jc w:val="center"/>
        </w:trPr>
        <w:tc>
          <w:tcPr>
            <w:tcW w:w="5000" w:type="pct"/>
            <w:gridSpan w:val="6"/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Открытые </w:t>
            </w:r>
            <w:proofErr w:type="spellStart"/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приобъектные</w:t>
            </w:r>
            <w:proofErr w:type="spellEnd"/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стоянки у общественных зданий, учреждений, предприятий, торговых центров, вокзалов и т.д.</w:t>
            </w:r>
          </w:p>
        </w:tc>
      </w:tr>
      <w:tr w:rsidR="00811DB8" w:rsidRPr="00811DB8" w:rsidTr="007E4F7A">
        <w:trPr>
          <w:cantSplit/>
          <w:trHeight w:val="234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789" w:type="pct"/>
            <w:gridSpan w:val="5"/>
            <w:tcBorders>
              <w:bottom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Объекты учебно-образовательного назначения</w:t>
            </w:r>
          </w:p>
        </w:tc>
      </w:tr>
      <w:tr w:rsidR="00811DB8" w:rsidRPr="00811DB8" w:rsidTr="007E4F7A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Высшие учебные заведения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Средние профессиональные учебные заведения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Преподавателей + студентов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4 + 20</w:t>
            </w:r>
          </w:p>
        </w:tc>
        <w:tc>
          <w:tcPr>
            <w:tcW w:w="756" w:type="pct"/>
            <w:vMerge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Дошкольные образовательные организации</w:t>
            </w:r>
          </w:p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Объекты дополнительного образования детей городского значения</w:t>
            </w:r>
          </w:p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811DB8" w:rsidRPr="00811DB8" w:rsidRDefault="00811DB8" w:rsidP="00811DB8">
            <w:pPr>
              <w:spacing w:after="0" w:line="240" w:lineRule="auto"/>
              <w:ind w:firstLine="1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56" w:type="pct"/>
            <w:vMerge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  <w:vMerge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Общеобразовательные школы</w:t>
            </w:r>
          </w:p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Гостевые автостоянки должны размещаться вне пределов земельного участка в красных линиях улично-дорожной сети в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уширениях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проезжей части или на специально отведенном земельном участке</w:t>
            </w:r>
          </w:p>
          <w:p w:rsidR="00811DB8" w:rsidRPr="00811DB8" w:rsidRDefault="00811DB8" w:rsidP="00811DB8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Применяются только для новой застройки</w:t>
            </w:r>
          </w:p>
          <w:p w:rsidR="00811DB8" w:rsidRPr="00811DB8" w:rsidRDefault="00811DB8" w:rsidP="00811DB8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rPr>
                <w:rFonts w:eastAsia="Arial Unicode MS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Работающих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811DB8" w:rsidRPr="00811DB8" w:rsidTr="007E4F7A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11DB8" w:rsidRPr="00811DB8" w:rsidTr="007E4F7A">
        <w:trPr>
          <w:cantSplit/>
          <w:trHeight w:val="416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789" w:type="pct"/>
            <w:gridSpan w:val="5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/>
                <w:sz w:val="22"/>
                <w:szCs w:val="22"/>
                <w:lang w:eastAsia="ar-SA"/>
              </w:rPr>
              <w:t>Объекты административно-делового назначения</w:t>
            </w:r>
          </w:p>
        </w:tc>
      </w:tr>
      <w:tr w:rsidR="00811DB8" w:rsidRPr="00811DB8" w:rsidTr="007E4F7A">
        <w:trPr>
          <w:cantSplit/>
          <w:trHeight w:val="349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Учреждения управления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8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Коммерческие деловые центры, офисные здания и помещения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24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76" w:lineRule="auto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Банки и банковские учреждения</w:t>
            </w:r>
          </w:p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(с операционным залом/ без него)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30(65)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Научно-исследовательские и проектные институты, лаборатории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24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789" w:type="pct"/>
            <w:gridSpan w:val="5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Объекты здравоохранения, спорта, досуга</w:t>
            </w:r>
          </w:p>
        </w:tc>
      </w:tr>
      <w:tr w:rsidR="00811DB8" w:rsidRPr="00811DB8" w:rsidTr="007E4F7A">
        <w:trPr>
          <w:cantSplit/>
          <w:trHeight w:val="24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Больницы, профилактории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ar-SA"/>
              </w:rPr>
              <w:t>Работающих + койко-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местна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5 + 10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8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Поликлиники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посещений в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сменуна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5 + 50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Ветеринарные клиники:</w:t>
            </w:r>
          </w:p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76" w:lineRule="auto"/>
              <w:ind w:firstLine="72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 с 1 ветеринарным врачом</w:t>
            </w:r>
          </w:p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 с 2 и более ветеринарными врачами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Оздоровительные комплексы (фитнес-клубы, ФОК, спортивные и тренажерные залы, бассейны)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-место на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кв.м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73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Спортивные комплексы и стадионы с трибунами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5+25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24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Аквапарки, бассейны, катки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BatangChe"/>
                <w:sz w:val="22"/>
                <w:szCs w:val="22"/>
                <w:lang w:eastAsia="ru-RU"/>
              </w:rPr>
              <w:t>5 + 10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widowControl w:val="0"/>
              <w:suppressAutoHyphens/>
              <w:autoSpaceDE w:val="0"/>
              <w:spacing w:after="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Музеи, выставочные комплексы, галереи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Детские досуговые центры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Работающихна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6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811DB8">
              <w:rPr>
                <w:rFonts w:eastAsia="Calibri"/>
                <w:sz w:val="22"/>
                <w:szCs w:val="22"/>
                <w:lang w:eastAsia="ru-RU"/>
              </w:rPr>
              <w:t>Центры обучения, самодеятельного творчества, клубы по интересам для взрослых</w:t>
            </w:r>
          </w:p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5+5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11DB8" w:rsidRPr="00811DB8" w:rsidTr="007E4F7A">
        <w:trPr>
          <w:cantSplit/>
          <w:trHeight w:val="480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Банно-оздоровительный комплекс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посетителей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08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789" w:type="pct"/>
            <w:gridSpan w:val="5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BatangChe"/>
                <w:b/>
                <w:sz w:val="22"/>
                <w:szCs w:val="22"/>
                <w:lang w:eastAsia="ru-RU"/>
              </w:rPr>
              <w:t>Объекты торгово-бытового и коммунального назначения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Развлекательные центры, цирки, кинотеатры, театры, архивы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 посетителей (мест)на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BatangChe"/>
                <w:sz w:val="22"/>
                <w:szCs w:val="22"/>
                <w:lang w:eastAsia="ar-SA"/>
              </w:rPr>
              <w:t>5 + 5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Объекты коммунально-бытового обслуживания (парикмахерские, косметические салоны, прачечные, химчистки, почта, банки, отделения и станции связи, бюро ритуальных услуг и т.п.)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Торговые центры, торговые комплексы, специализированные торговые объекты, супермаркеты, универсамы, универмаги, рынки, многофункциональные центры и т.д.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Рестораны, кафе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Культовые объекты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 xml:space="preserve">Посетителей + 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4 + 50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Рынки постоянные (универсальные и непродовольственные / продовольственные и с/х)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Calibri"/>
                <w:sz w:val="22"/>
                <w:szCs w:val="22"/>
                <w:lang w:eastAsia="ar-SA"/>
              </w:rPr>
              <w:t>Общежития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Работающих +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проживающихна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ar-SA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ar-SA"/>
              </w:rPr>
              <w:t>5+10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789" w:type="pct"/>
            <w:gridSpan w:val="5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BatangChe"/>
                <w:b/>
                <w:sz w:val="22"/>
                <w:szCs w:val="22"/>
                <w:lang w:eastAsia="ar-SA"/>
              </w:rPr>
              <w:t>Объекты промышленно-производственного назначения и транспортного обслуживания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Вокзалы всех видов транспорта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пассажиров в час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пикна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BatangChe"/>
                <w:sz w:val="22"/>
                <w:szCs w:val="22"/>
                <w:lang w:eastAsia="ru-RU"/>
              </w:rPr>
              <w:t>5 + 8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Производственные и коммунально-складские здания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в двух смежных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сменахна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Гостиницы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Работающих +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местна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BatangChe"/>
                <w:sz w:val="22"/>
                <w:szCs w:val="22"/>
                <w:lang w:eastAsia="ru-RU"/>
              </w:rPr>
              <w:t>5 + 5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150</w:t>
            </w:r>
          </w:p>
        </w:tc>
      </w:tr>
      <w:tr w:rsidR="00811DB8" w:rsidRPr="00811DB8" w:rsidTr="007E4F7A">
        <w:trPr>
          <w:cantSplit/>
          <w:trHeight w:val="391"/>
          <w:jc w:val="center"/>
        </w:trPr>
        <w:tc>
          <w:tcPr>
            <w:tcW w:w="211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47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val="es-ES_tradnl" w:eastAsia="ru-RU"/>
              </w:rPr>
              <w:t>Детские дома-интернаты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Работающие, занятые в одну смену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250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val="es-ES_tradnl" w:eastAsia="ru-RU"/>
              </w:rPr>
              <w:t>Санатории-профилактории, дома отдыха (пансионаты), в том числе для отдыха с детьми, санаторные детские лагеря, детские лагеря, оздоровительные лагеря для старшеклассников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Отдыхающие и обслуживающий персонал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val="es-ES_tradnl" w:eastAsia="ru-RU"/>
              </w:rPr>
              <w:t>Зоопарки, зверинцы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val="es-ES_tradnl" w:eastAsia="ru-RU"/>
              </w:rPr>
              <w:t>Кладбища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Е</w:t>
            </w: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диновремен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</w:t>
            </w: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ных</w:t>
            </w:r>
            <w:proofErr w:type="gramEnd"/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 xml:space="preserve"> посетителей</w:t>
            </w: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 на 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val="es-ES_tradnl" w:eastAsia="ru-RU"/>
              </w:rPr>
              <w:t>АЗС,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АГЗС, объекты технического обслуживания автомобилей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val="es-ES_tradnl" w:eastAsia="ru-RU"/>
              </w:rPr>
              <w:t>1 пост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val="es-ES_tradnl" w:eastAsia="ru-RU"/>
              </w:rPr>
              <w:t>0,5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val="es-ES_tradnl"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Технические этажи, технические помещения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sz w:val="22"/>
                <w:szCs w:val="22"/>
                <w:lang w:val="es-ES_tradnl" w:eastAsia="ru-RU"/>
              </w:rPr>
            </w:pPr>
            <w:r w:rsidRPr="00811DB8">
              <w:rPr>
                <w:rFonts w:eastAsia="Arial Unicode MS"/>
                <w:sz w:val="22"/>
                <w:szCs w:val="22"/>
                <w:lang w:eastAsia="ru-RU"/>
              </w:rPr>
              <w:t xml:space="preserve">1 </w:t>
            </w:r>
            <w:proofErr w:type="spellStart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Arial Unicode MS"/>
                <w:sz w:val="22"/>
                <w:szCs w:val="22"/>
                <w:lang w:eastAsia="ru-RU"/>
              </w:rPr>
              <w:t>-место на количество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м</w:t>
            </w:r>
            <w:r w:rsidRPr="00811DB8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общей площади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789" w:type="pct"/>
            <w:gridSpan w:val="5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b/>
                <w:sz w:val="24"/>
                <w:szCs w:val="22"/>
                <w:lang w:eastAsia="ru-RU"/>
              </w:rPr>
              <w:t>Рекреационные территории и объекты отдыха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Пляжи и парки в зонах отдыха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Лесопарки и заповедники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Базы кратковременного отдыха (спортивные, лыжные, рыболовные, охотничьи и др.)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Береговые базы маломерного флота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Санатории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  <w:tr w:rsidR="00811DB8" w:rsidRPr="00811DB8" w:rsidTr="007E4F7A">
        <w:trPr>
          <w:cantSplit/>
          <w:trHeight w:val="414"/>
          <w:jc w:val="center"/>
        </w:trPr>
        <w:tc>
          <w:tcPr>
            <w:tcW w:w="211" w:type="pct"/>
          </w:tcPr>
          <w:p w:rsidR="00811DB8" w:rsidRPr="00811DB8" w:rsidRDefault="00811DB8" w:rsidP="00811DB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47" w:type="pct"/>
          </w:tcPr>
          <w:p w:rsidR="00811DB8" w:rsidRPr="00811DB8" w:rsidRDefault="00811DB8" w:rsidP="00811DB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911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Единовремен-ных</w:t>
            </w:r>
            <w:proofErr w:type="spellEnd"/>
            <w:proofErr w:type="gram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посетителейна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 xml:space="preserve"> 1 </w:t>
            </w:r>
            <w:proofErr w:type="spellStart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машино</w:t>
            </w:r>
            <w:proofErr w:type="spellEnd"/>
            <w:r w:rsidRPr="00811DB8">
              <w:rPr>
                <w:rFonts w:eastAsia="Times New Roman"/>
                <w:sz w:val="22"/>
                <w:szCs w:val="22"/>
                <w:lang w:eastAsia="ru-RU"/>
              </w:rPr>
              <w:t>-место</w:t>
            </w:r>
          </w:p>
        </w:tc>
        <w:tc>
          <w:tcPr>
            <w:tcW w:w="672" w:type="pct"/>
          </w:tcPr>
          <w:p w:rsidR="00811DB8" w:rsidRPr="00811DB8" w:rsidRDefault="00811DB8" w:rsidP="00811DB8">
            <w:pPr>
              <w:spacing w:after="0" w:line="240" w:lineRule="auto"/>
              <w:ind w:left="-72"/>
              <w:jc w:val="center"/>
              <w:rPr>
                <w:rFonts w:eastAsia="Arial Unicode MS"/>
                <w:bCs/>
                <w:sz w:val="22"/>
                <w:szCs w:val="22"/>
                <w:lang w:eastAsia="ru-RU"/>
              </w:rPr>
            </w:pPr>
            <w:r w:rsidRPr="00811DB8">
              <w:rPr>
                <w:rFonts w:eastAsia="Arial Unicode MS"/>
                <w:bCs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56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пешеходная доступность, м</w:t>
            </w:r>
          </w:p>
        </w:tc>
        <w:tc>
          <w:tcPr>
            <w:tcW w:w="703" w:type="pct"/>
          </w:tcPr>
          <w:p w:rsidR="00811DB8" w:rsidRPr="00811DB8" w:rsidRDefault="00811DB8" w:rsidP="00811DB8">
            <w:pPr>
              <w:spacing w:after="0" w:line="240" w:lineRule="auto"/>
              <w:ind w:left="-72" w:firstLine="1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11DB8">
              <w:rPr>
                <w:rFonts w:eastAsia="Times New Roman"/>
                <w:sz w:val="22"/>
                <w:szCs w:val="22"/>
                <w:lang w:eastAsia="ru-RU"/>
              </w:rPr>
              <w:t>400</w:t>
            </w:r>
          </w:p>
        </w:tc>
      </w:tr>
    </w:tbl>
    <w:p w:rsidR="00811DB8" w:rsidRPr="00811DB8" w:rsidRDefault="00811DB8" w:rsidP="00811DB8">
      <w:pPr>
        <w:spacing w:after="0" w:line="240" w:lineRule="auto"/>
        <w:rPr>
          <w:rFonts w:eastAsia="Times New Roman"/>
          <w:b/>
          <w:lang w:eastAsia="ru-RU"/>
        </w:rPr>
        <w:sectPr w:rsidR="00811DB8" w:rsidRPr="00811DB8" w:rsidSect="00C56078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1DB8" w:rsidRPr="00811DB8" w:rsidRDefault="00811DB8" w:rsidP="00811DB8">
      <w:pPr>
        <w:autoSpaceDE w:val="0"/>
        <w:spacing w:after="0" w:line="276" w:lineRule="auto"/>
        <w:jc w:val="center"/>
        <w:rPr>
          <w:rFonts w:eastAsia="Times New Roman"/>
          <w:sz w:val="22"/>
          <w:szCs w:val="22"/>
          <w:lang w:eastAsia="ru-RU"/>
        </w:rPr>
      </w:pPr>
    </w:p>
    <w:p w:rsidR="00811DB8" w:rsidRPr="00811DB8" w:rsidRDefault="00811DB8" w:rsidP="00811DB8">
      <w:pPr>
        <w:autoSpaceDE w:val="0"/>
        <w:spacing w:after="0" w:line="276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BE5382" w:rsidRDefault="00BE5382"/>
    <w:sectPr w:rsidR="00BE5382" w:rsidSect="00AD4C5F"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0E02BD" w:rsidRDefault="00811DB8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>
          <w:rPr>
            <w:noProof/>
          </w:rPr>
          <w:t>1</w:t>
        </w:r>
        <w:r w:rsidRPr="00CA4E64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2BD" w:rsidRPr="0010196E" w:rsidRDefault="00811DB8">
    <w:pPr>
      <w:pStyle w:val="a3"/>
      <w:jc w:val="center"/>
    </w:pPr>
  </w:p>
  <w:p w:rsidR="000E02BD" w:rsidRDefault="00811D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4B"/>
    <w:rsid w:val="00811DB8"/>
    <w:rsid w:val="00BE5382"/>
    <w:rsid w:val="00C7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A6AB8-4723-4C65-82A2-170E3D3A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1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11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consultant.ru/document/cons_doc_LAW_51040/2ce3b4c2e314b31833138ad26a48ec33f57545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1806</Words>
  <Characters>10297</Characters>
  <Application>Microsoft Office Word</Application>
  <DocSecurity>0</DocSecurity>
  <Lines>85</Lines>
  <Paragraphs>24</Paragraphs>
  <ScaleCrop>false</ScaleCrop>
  <Company/>
  <LinksUpToDate>false</LinksUpToDate>
  <CharactersWithSpaces>12079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2024-02-02T10:03:00Z</dcterms:created>
  <dcterms:modified xsi:type="dcterms:W3CDTF">2024-02-02T10:04:00Z</dcterms:modified>
</cp:coreProperties>
</file>